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8A" w:rsidRDefault="00EF1ACB" w:rsidP="0004133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469606" cy="1400175"/>
            <wp:effectExtent l="19050" t="0" r="0" b="0"/>
            <wp:docPr id="2" name="Imagem 1" descr="admin-aj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-ajax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9055" cy="139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31" w:rsidRDefault="00041331" w:rsidP="00041331">
      <w:pPr>
        <w:jc w:val="center"/>
        <w:rPr>
          <w:b/>
          <w:i/>
        </w:rPr>
      </w:pPr>
      <w:r w:rsidRPr="009D3F38">
        <w:rPr>
          <w:b/>
          <w:i/>
        </w:rPr>
        <w:t xml:space="preserve">Associação dos Oficiais </w:t>
      </w:r>
      <w:r w:rsidR="009D3F38" w:rsidRPr="009D3F38">
        <w:rPr>
          <w:b/>
          <w:i/>
        </w:rPr>
        <w:t>Estaduais do Rio Grande do Sul</w:t>
      </w:r>
    </w:p>
    <w:p w:rsidR="00904022" w:rsidRDefault="00904022" w:rsidP="00904022">
      <w:pPr>
        <w:rPr>
          <w:b/>
          <w:i/>
        </w:rPr>
      </w:pPr>
      <w:r>
        <w:rPr>
          <w:b/>
          <w:i/>
        </w:rPr>
        <w:t>Oficio nr 001/AOfERGS - 2017</w:t>
      </w:r>
    </w:p>
    <w:p w:rsidR="00B40A19" w:rsidRDefault="00B40A19" w:rsidP="00041331">
      <w:pPr>
        <w:jc w:val="center"/>
        <w:rPr>
          <w:b/>
          <w:i/>
        </w:rPr>
      </w:pPr>
    </w:p>
    <w:p w:rsidR="00DC3F95" w:rsidRPr="00DC3F95" w:rsidRDefault="00DC3F95" w:rsidP="00DC3F95">
      <w:pPr>
        <w:rPr>
          <w:rFonts w:ascii="Arial" w:hAnsi="Arial" w:cs="Arial"/>
          <w:b/>
          <w:i/>
        </w:rPr>
      </w:pPr>
      <w:r w:rsidRPr="00DC3F95">
        <w:rPr>
          <w:rFonts w:ascii="Arial" w:hAnsi="Arial" w:cs="Arial"/>
          <w:b/>
          <w:i/>
        </w:rPr>
        <w:t>Senhor Daniel Lopes dos Santos</w:t>
      </w:r>
    </w:p>
    <w:p w:rsidR="00DC3F95" w:rsidRPr="00DC3F95" w:rsidRDefault="00DC3F95" w:rsidP="00DC3F95">
      <w:pPr>
        <w:rPr>
          <w:rFonts w:ascii="Arial" w:hAnsi="Arial" w:cs="Arial"/>
          <w:b/>
          <w:i/>
        </w:rPr>
      </w:pPr>
      <w:r w:rsidRPr="00DC3F95">
        <w:rPr>
          <w:rFonts w:ascii="Arial" w:hAnsi="Arial" w:cs="Arial"/>
          <w:b/>
          <w:i/>
        </w:rPr>
        <w:t>M.D. Diretor Presidente da Instituição Beneficente Coronel Massot</w:t>
      </w:r>
    </w:p>
    <w:p w:rsidR="00DC3F95" w:rsidRDefault="00DC3F95" w:rsidP="00970CA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Associação dos Oficiais Estaduais do Rio Grande do Sul (AOfERGS) tem por </w:t>
      </w:r>
      <w:r w:rsidR="00F1052D">
        <w:rPr>
          <w:rFonts w:ascii="Arial" w:hAnsi="Arial" w:cs="Arial"/>
        </w:rPr>
        <w:t>princípio</w:t>
      </w:r>
      <w:r>
        <w:rPr>
          <w:rFonts w:ascii="Arial" w:hAnsi="Arial" w:cs="Arial"/>
        </w:rPr>
        <w:t xml:space="preserve"> estatutário defender os Tenentes da Brigada Militar em todas as esferas, visando garantir seus direitos bem como regular seus deveres de forma equitativa com as outras carreiras.</w:t>
      </w:r>
    </w:p>
    <w:p w:rsidR="004C1EB4" w:rsidRDefault="00970CA6" w:rsidP="004C1E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F1052D">
        <w:rPr>
          <w:rFonts w:ascii="Arial" w:hAnsi="Arial" w:cs="Arial"/>
        </w:rPr>
        <w:t xml:space="preserve">grande número de associados </w:t>
      </w:r>
      <w:r w:rsidR="005C2079">
        <w:rPr>
          <w:rFonts w:ascii="Arial" w:hAnsi="Arial" w:cs="Arial"/>
        </w:rPr>
        <w:t>da AOfERGS</w:t>
      </w:r>
      <w:r w:rsidR="004C1EB4">
        <w:rPr>
          <w:rFonts w:ascii="Arial" w:hAnsi="Arial" w:cs="Arial"/>
        </w:rPr>
        <w:t>fazem parte do quadro associativo</w:t>
      </w:r>
      <w:r>
        <w:rPr>
          <w:rFonts w:ascii="Arial" w:hAnsi="Arial" w:cs="Arial"/>
        </w:rPr>
        <w:t xml:space="preserve"> desta nobre entidade, estamos apresentando este estudo para que, se assim entender vossa senhoria e sua diretoria executiva, possa ser apresentado em Assembléia Geral para uma possível alteração estatutária de acordo com o Estatuto da IBCM:</w:t>
      </w:r>
    </w:p>
    <w:p w:rsidR="00970CA6" w:rsidRPr="00B40A19" w:rsidRDefault="00970CA6" w:rsidP="000F0BD6">
      <w:pPr>
        <w:spacing w:after="0" w:line="240" w:lineRule="auto"/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Estatuto....</w:t>
      </w:r>
    </w:p>
    <w:p w:rsidR="00970CA6" w:rsidRPr="00B40A19" w:rsidRDefault="00970CA6" w:rsidP="000F0BD6">
      <w:pPr>
        <w:spacing w:after="0" w:line="240" w:lineRule="auto"/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Seção I....</w:t>
      </w:r>
    </w:p>
    <w:p w:rsidR="00970CA6" w:rsidRPr="00B40A19" w:rsidRDefault="00970CA6" w:rsidP="000F0BD6">
      <w:pPr>
        <w:spacing w:after="0" w:line="240" w:lineRule="auto"/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Art. 19....</w:t>
      </w:r>
    </w:p>
    <w:p w:rsidR="00970CA6" w:rsidRDefault="00970CA6" w:rsidP="000F0BD6">
      <w:pPr>
        <w:spacing w:after="0" w:line="240" w:lineRule="auto"/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I</w:t>
      </w:r>
      <w:r w:rsidR="006B6600" w:rsidRPr="00B40A19">
        <w:rPr>
          <w:rFonts w:ascii="Arial" w:hAnsi="Arial" w:cs="Arial"/>
          <w:b/>
          <w:i/>
          <w:sz w:val="18"/>
          <w:szCs w:val="18"/>
        </w:rPr>
        <w:t>-</w:t>
      </w:r>
      <w:r w:rsidRPr="00B40A19">
        <w:rPr>
          <w:rFonts w:ascii="Arial" w:hAnsi="Arial" w:cs="Arial"/>
          <w:b/>
          <w:i/>
          <w:sz w:val="18"/>
          <w:szCs w:val="18"/>
        </w:rPr>
        <w:t>....</w:t>
      </w:r>
    </w:p>
    <w:p w:rsidR="00970CA6" w:rsidRDefault="00970CA6" w:rsidP="000F0BD6">
      <w:pPr>
        <w:spacing w:after="0" w:line="240" w:lineRule="auto"/>
        <w:ind w:firstLine="851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II</w:t>
      </w:r>
      <w:r w:rsidR="006B6600" w:rsidRPr="00B40A19">
        <w:rPr>
          <w:rFonts w:ascii="Arial" w:hAnsi="Arial" w:cs="Arial"/>
          <w:b/>
          <w:i/>
          <w:sz w:val="18"/>
          <w:szCs w:val="18"/>
        </w:rPr>
        <w:t>- Decidir sobre reforma do Estatuto:</w:t>
      </w:r>
    </w:p>
    <w:p w:rsidR="00BE3971" w:rsidRPr="00B40A19" w:rsidRDefault="00BE3971" w:rsidP="000F0BD6">
      <w:pPr>
        <w:spacing w:after="0" w:line="240" w:lineRule="auto"/>
        <w:ind w:firstLine="851"/>
        <w:jc w:val="both"/>
        <w:rPr>
          <w:rFonts w:ascii="Arial" w:hAnsi="Arial" w:cs="Arial"/>
          <w:b/>
          <w:i/>
          <w:sz w:val="18"/>
          <w:szCs w:val="18"/>
        </w:rPr>
      </w:pPr>
    </w:p>
    <w:p w:rsidR="004C1EB4" w:rsidRDefault="004C1EB4" w:rsidP="004C1EB4">
      <w:pPr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Inicialmente entendermos por bem solicitar informações estatísticas referente a participação associativa de cada nível estabelecido pelas alíneas "a", "b", "c", "d" e "e" do Artigo 61 do Estatuto, através do Ofício nº 044/AOfERGS/2016, para podermos embasar nosso estudo.</w:t>
      </w:r>
    </w:p>
    <w:p w:rsidR="004C1EB4" w:rsidRDefault="004C1EB4" w:rsidP="004C1EB4">
      <w:pPr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Passamos então a analisar os Artigos 61 e 62 do presente Estatuto, onde define </w:t>
      </w:r>
      <w:r w:rsidR="00471F90">
        <w:rPr>
          <w:rFonts w:ascii="Arial" w:hAnsi="Arial" w:cs="Arial"/>
        </w:rPr>
        <w:t>as cotas de acordo com os níveis definidos no Art. 61 e suas alíneas bem como composição das chapas no seu Art. 62 e seus parágrafos.</w:t>
      </w:r>
    </w:p>
    <w:p w:rsidR="00471F90" w:rsidRDefault="00471F90" w:rsidP="004C1EB4">
      <w:pPr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Transcritos a seguir (grifo nosso)</w:t>
      </w:r>
      <w:r w:rsidR="00B44C70">
        <w:rPr>
          <w:rFonts w:ascii="Arial" w:hAnsi="Arial" w:cs="Arial"/>
        </w:rPr>
        <w:t>:</w:t>
      </w:r>
    </w:p>
    <w:p w:rsidR="001631A0" w:rsidRPr="00B40A19" w:rsidRDefault="001631A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Art. 61 - Para efeito de eleição dos Órgãos Dirigentes da IBCM, o Inciso I do Art. 9º e Art. 12º, alínea "a</w:t>
      </w:r>
      <w:r w:rsidR="00F1052D" w:rsidRPr="00B40A19">
        <w:rPr>
          <w:rFonts w:ascii="Arial" w:hAnsi="Arial" w:cs="Arial"/>
          <w:b/>
          <w:i/>
          <w:sz w:val="18"/>
          <w:szCs w:val="18"/>
        </w:rPr>
        <w:t>”,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deste Estatuto, observará a seguinte subdivisão:</w:t>
      </w:r>
    </w:p>
    <w:p w:rsidR="001631A0" w:rsidRPr="00B40A19" w:rsidRDefault="001631A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lastRenderedPageBreak/>
        <w:t xml:space="preserve">a) </w:t>
      </w:r>
      <w:r w:rsidR="00770C5B" w:rsidRPr="00B40A19">
        <w:rPr>
          <w:rFonts w:ascii="Arial" w:hAnsi="Arial" w:cs="Arial"/>
          <w:b/>
          <w:i/>
          <w:sz w:val="18"/>
          <w:szCs w:val="18"/>
        </w:rPr>
        <w:t>servidores militares do Estado do Rio Grande do Sul de nível superior, ativos e inativos</w:t>
      </w:r>
    </w:p>
    <w:p w:rsidR="001631A0" w:rsidRPr="00B40A19" w:rsidRDefault="001631A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b)</w:t>
      </w:r>
      <w:r w:rsidR="00F561CA" w:rsidRPr="00B40A19">
        <w:rPr>
          <w:rFonts w:ascii="Arial" w:hAnsi="Arial" w:cs="Arial"/>
          <w:b/>
          <w:i/>
          <w:sz w:val="18"/>
          <w:szCs w:val="18"/>
        </w:rPr>
        <w:t xml:space="preserve"> servidores militares do Estado do Rio Grande do Sul de nível médio, ativos e inativos</w:t>
      </w:r>
    </w:p>
    <w:p w:rsidR="001631A0" w:rsidRPr="00B40A19" w:rsidRDefault="001631A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c)</w:t>
      </w:r>
      <w:r w:rsidR="00DA474D" w:rsidRPr="00B40A19">
        <w:rPr>
          <w:rFonts w:ascii="Arial" w:hAnsi="Arial" w:cs="Arial"/>
          <w:b/>
          <w:i/>
          <w:sz w:val="18"/>
          <w:szCs w:val="18"/>
        </w:rPr>
        <w:t xml:space="preserve"> funcionários civis da Brigada Militar</w:t>
      </w:r>
    </w:p>
    <w:p w:rsidR="001631A0" w:rsidRPr="00B40A19" w:rsidRDefault="001631A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d)</w:t>
      </w:r>
      <w:r w:rsidR="00DA474D" w:rsidRPr="00B40A19">
        <w:rPr>
          <w:rFonts w:ascii="Arial" w:hAnsi="Arial" w:cs="Arial"/>
          <w:b/>
          <w:i/>
          <w:sz w:val="18"/>
          <w:szCs w:val="18"/>
        </w:rPr>
        <w:t xml:space="preserve"> servidores da Justiça Militar do Estado do Rio Grande do Sul</w:t>
      </w:r>
    </w:p>
    <w:p w:rsidR="001631A0" w:rsidRPr="00B40A19" w:rsidRDefault="001631A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e)</w:t>
      </w:r>
      <w:r w:rsidR="00DA474D" w:rsidRPr="00B40A19">
        <w:rPr>
          <w:rFonts w:ascii="Arial" w:hAnsi="Arial" w:cs="Arial"/>
          <w:b/>
          <w:i/>
          <w:sz w:val="18"/>
          <w:szCs w:val="18"/>
        </w:rPr>
        <w:t xml:space="preserve"> viúvas (os)dos associados constantes das alíneas a, b e c deste Artigo</w:t>
      </w:r>
    </w:p>
    <w:p w:rsidR="001631A0" w:rsidRPr="00B40A19" w:rsidRDefault="001631A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 xml:space="preserve">f) </w:t>
      </w:r>
      <w:r w:rsidR="00DA474D" w:rsidRPr="00B40A19">
        <w:rPr>
          <w:rFonts w:ascii="Arial" w:hAnsi="Arial" w:cs="Arial"/>
          <w:b/>
          <w:i/>
          <w:sz w:val="18"/>
          <w:szCs w:val="18"/>
        </w:rPr>
        <w:t>empregados da Instituição Beneficente Coronel Massot - IBCM</w:t>
      </w:r>
    </w:p>
    <w:p w:rsidR="00ED3C86" w:rsidRPr="00B40A19" w:rsidRDefault="00ED3C86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 xml:space="preserve">62 - As eleições para escolher os membros da Diretoria Executiva, Conselho Deliberativa e Conselho Fiscal ocorrerá através de chapas assim constituídas, exceto em casos de </w:t>
      </w:r>
      <w:r w:rsidR="000E6520" w:rsidRPr="00B40A19">
        <w:rPr>
          <w:rFonts w:ascii="Arial" w:hAnsi="Arial" w:cs="Arial"/>
          <w:b/>
          <w:i/>
          <w:sz w:val="18"/>
          <w:szCs w:val="18"/>
        </w:rPr>
        <w:t>vacância</w:t>
      </w:r>
      <w:r w:rsidRPr="00B40A19">
        <w:rPr>
          <w:rFonts w:ascii="Arial" w:hAnsi="Arial" w:cs="Arial"/>
          <w:b/>
          <w:i/>
          <w:sz w:val="18"/>
          <w:szCs w:val="18"/>
        </w:rPr>
        <w:t>, nos termos do 25,38 e 55 §§ 2º e 3º deste Estatuto:</w:t>
      </w:r>
    </w:p>
    <w:p w:rsidR="000E6520" w:rsidRPr="00B40A19" w:rsidRDefault="000E652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</w:p>
    <w:p w:rsidR="00ED3C86" w:rsidRPr="00B40A19" w:rsidRDefault="000E652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§1º Membros do Conselho Deliberativo:</w:t>
      </w:r>
    </w:p>
    <w:p w:rsidR="000E6520" w:rsidRPr="00B40A19" w:rsidRDefault="000E652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I - Titulares</w:t>
      </w:r>
    </w:p>
    <w:p w:rsidR="000E6520" w:rsidRPr="00B40A19" w:rsidRDefault="000E652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 xml:space="preserve">a) 04(Quatro)associados da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"a";</w:t>
      </w:r>
    </w:p>
    <w:p w:rsidR="000E6520" w:rsidRPr="00B40A19" w:rsidRDefault="000E652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 xml:space="preserve">b) 10 (Dez) associados da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"b";</w:t>
      </w:r>
    </w:p>
    <w:p w:rsidR="000E6520" w:rsidRPr="00B40A19" w:rsidRDefault="000E652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 xml:space="preserve">c) 01 (Um) associado da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"c" ou "d", ou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"e" ou "f".</w:t>
      </w:r>
    </w:p>
    <w:p w:rsidR="000E6520" w:rsidRPr="00B40A19" w:rsidRDefault="000E652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II - Suplentes</w:t>
      </w:r>
    </w:p>
    <w:p w:rsidR="000E6520" w:rsidRPr="00B40A19" w:rsidRDefault="000E652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 xml:space="preserve">a) 01(Um)associados da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"a";</w:t>
      </w:r>
    </w:p>
    <w:p w:rsidR="000E6520" w:rsidRPr="00B40A19" w:rsidRDefault="000E652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b) 03 (</w:t>
      </w:r>
      <w:r w:rsidR="00FF772A" w:rsidRPr="00B40A19">
        <w:rPr>
          <w:rFonts w:ascii="Arial" w:hAnsi="Arial" w:cs="Arial"/>
          <w:b/>
          <w:i/>
          <w:sz w:val="18"/>
          <w:szCs w:val="18"/>
        </w:rPr>
        <w:t>Três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) associados da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"b";</w:t>
      </w:r>
    </w:p>
    <w:p w:rsidR="000E6520" w:rsidRPr="00B40A19" w:rsidRDefault="000E6520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 xml:space="preserve">c) 01 (Um) associado da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"c" ou "d", ou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"e" ou "f".</w:t>
      </w:r>
    </w:p>
    <w:p w:rsidR="00FF772A" w:rsidRPr="00B40A19" w:rsidRDefault="00FF772A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§2º Membros do Conselho Fiscal:</w:t>
      </w:r>
    </w:p>
    <w:p w:rsidR="00FF772A" w:rsidRPr="00B40A19" w:rsidRDefault="00FF772A" w:rsidP="000F0BD6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I - Titulares</w:t>
      </w:r>
    </w:p>
    <w:p w:rsidR="00FF772A" w:rsidRPr="00B40A19" w:rsidRDefault="00FF772A" w:rsidP="00E843DD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 xml:space="preserve">a) 01(Um)associados da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"a";</w:t>
      </w:r>
    </w:p>
    <w:p w:rsidR="00FF772A" w:rsidRPr="00B40A19" w:rsidRDefault="00FF772A" w:rsidP="00E843DD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 xml:space="preserve">b) 03 (Três) associados da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"b";</w:t>
      </w:r>
    </w:p>
    <w:p w:rsidR="00FF772A" w:rsidRPr="00B40A19" w:rsidRDefault="00FF772A" w:rsidP="00E843DD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 xml:space="preserve">c) 01 (Um) associado da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"c" ou "d", ou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"e" ou "f".</w:t>
      </w:r>
    </w:p>
    <w:p w:rsidR="00FF772A" w:rsidRPr="00B40A19" w:rsidRDefault="00FF772A" w:rsidP="00E843DD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II - Suplentes</w:t>
      </w:r>
    </w:p>
    <w:p w:rsidR="00FF772A" w:rsidRPr="00B40A19" w:rsidRDefault="00FF772A" w:rsidP="00E843DD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 xml:space="preserve">a) 01(Um)associados da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"a";</w:t>
      </w:r>
    </w:p>
    <w:p w:rsidR="00FF772A" w:rsidRPr="00B40A19" w:rsidRDefault="00FF772A" w:rsidP="00E843DD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 xml:space="preserve">b) 01 (Um) associados da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"b";</w:t>
      </w:r>
    </w:p>
    <w:p w:rsidR="00FF772A" w:rsidRPr="00B40A19" w:rsidRDefault="00FF772A" w:rsidP="00E843DD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 xml:space="preserve">c) 01 (Um) associado da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"c" ou "d", ou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"e" ou "f".</w:t>
      </w:r>
    </w:p>
    <w:p w:rsidR="00FF772A" w:rsidRPr="00B40A19" w:rsidRDefault="00FF772A" w:rsidP="00E843DD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 xml:space="preserve">§3º </w:t>
      </w:r>
      <w:r w:rsidR="00F1052D" w:rsidRPr="00B40A19">
        <w:rPr>
          <w:rFonts w:ascii="Arial" w:hAnsi="Arial" w:cs="Arial"/>
          <w:b/>
          <w:i/>
          <w:sz w:val="18"/>
          <w:szCs w:val="18"/>
        </w:rPr>
        <w:t>Membros da</w:t>
      </w:r>
      <w:r w:rsidR="001631A0" w:rsidRPr="00B40A19">
        <w:rPr>
          <w:rFonts w:ascii="Arial" w:hAnsi="Arial" w:cs="Arial"/>
          <w:b/>
          <w:i/>
          <w:sz w:val="18"/>
          <w:szCs w:val="18"/>
        </w:rPr>
        <w:t xml:space="preserve"> Diretoria Executiva:</w:t>
      </w:r>
    </w:p>
    <w:p w:rsidR="00FF772A" w:rsidRPr="00B40A19" w:rsidRDefault="00FF772A" w:rsidP="00E843DD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I - Titulares</w:t>
      </w:r>
    </w:p>
    <w:p w:rsidR="00FF772A" w:rsidRPr="00B40A19" w:rsidRDefault="00FF772A" w:rsidP="00E843DD">
      <w:pPr>
        <w:spacing w:after="0" w:line="240" w:lineRule="auto"/>
        <w:ind w:left="851" w:right="1558"/>
        <w:jc w:val="both"/>
        <w:rPr>
          <w:rFonts w:ascii="Arial" w:hAnsi="Arial" w:cs="Arial"/>
          <w:b/>
          <w:i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a) 0</w:t>
      </w:r>
      <w:r w:rsidR="001631A0" w:rsidRPr="00B40A19">
        <w:rPr>
          <w:rFonts w:ascii="Arial" w:hAnsi="Arial" w:cs="Arial"/>
          <w:b/>
          <w:i/>
          <w:sz w:val="18"/>
          <w:szCs w:val="18"/>
        </w:rPr>
        <w:t>2</w:t>
      </w:r>
      <w:r w:rsidRPr="00B40A19">
        <w:rPr>
          <w:rFonts w:ascii="Arial" w:hAnsi="Arial" w:cs="Arial"/>
          <w:b/>
          <w:i/>
          <w:sz w:val="18"/>
          <w:szCs w:val="18"/>
        </w:rPr>
        <w:t>(</w:t>
      </w:r>
      <w:r w:rsidR="001631A0" w:rsidRPr="00B40A19">
        <w:rPr>
          <w:rFonts w:ascii="Arial" w:hAnsi="Arial" w:cs="Arial"/>
          <w:b/>
          <w:i/>
          <w:sz w:val="18"/>
          <w:szCs w:val="18"/>
        </w:rPr>
        <w:t>Dois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)associados da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"a";</w:t>
      </w:r>
    </w:p>
    <w:p w:rsidR="004C1EB4" w:rsidRDefault="00FF772A" w:rsidP="00E843DD">
      <w:pPr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b) 0</w:t>
      </w:r>
      <w:r w:rsidR="001631A0" w:rsidRPr="00B40A19">
        <w:rPr>
          <w:rFonts w:ascii="Arial" w:hAnsi="Arial" w:cs="Arial"/>
          <w:b/>
          <w:i/>
          <w:sz w:val="18"/>
          <w:szCs w:val="18"/>
        </w:rPr>
        <w:t>2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(</w:t>
      </w:r>
      <w:r w:rsidR="001631A0" w:rsidRPr="00B40A19">
        <w:rPr>
          <w:rFonts w:ascii="Arial" w:hAnsi="Arial" w:cs="Arial"/>
          <w:b/>
          <w:i/>
          <w:sz w:val="18"/>
          <w:szCs w:val="18"/>
        </w:rPr>
        <w:t>Dois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) associados da </w:t>
      </w:r>
      <w:r w:rsidR="001631A0" w:rsidRPr="00B40A19">
        <w:rPr>
          <w:rFonts w:ascii="Arial" w:hAnsi="Arial" w:cs="Arial"/>
          <w:b/>
          <w:i/>
          <w:sz w:val="18"/>
          <w:szCs w:val="18"/>
        </w:rPr>
        <w:t>alínea</w:t>
      </w:r>
      <w:r w:rsidRPr="00B40A19">
        <w:rPr>
          <w:rFonts w:ascii="Arial" w:hAnsi="Arial" w:cs="Arial"/>
          <w:b/>
          <w:i/>
          <w:sz w:val="18"/>
          <w:szCs w:val="18"/>
        </w:rPr>
        <w:t xml:space="preserve"> "b";</w:t>
      </w:r>
    </w:p>
    <w:p w:rsidR="00F026F9" w:rsidRPr="00B40A19" w:rsidRDefault="00F026F9" w:rsidP="00093AA0">
      <w:pPr>
        <w:spacing w:after="0" w:line="240" w:lineRule="auto"/>
        <w:ind w:left="851" w:right="2267"/>
        <w:jc w:val="both"/>
        <w:rPr>
          <w:rFonts w:ascii="Arial" w:hAnsi="Arial" w:cs="Arial"/>
          <w:sz w:val="18"/>
          <w:szCs w:val="18"/>
        </w:rPr>
      </w:pPr>
      <w:r w:rsidRPr="00B40A19">
        <w:rPr>
          <w:rFonts w:ascii="Arial" w:hAnsi="Arial" w:cs="Arial"/>
          <w:b/>
          <w:i/>
          <w:sz w:val="18"/>
          <w:szCs w:val="18"/>
        </w:rPr>
        <w:t>§</w:t>
      </w:r>
      <w:r>
        <w:rPr>
          <w:rFonts w:ascii="Arial" w:hAnsi="Arial" w:cs="Arial"/>
          <w:b/>
          <w:i/>
          <w:sz w:val="18"/>
          <w:szCs w:val="18"/>
        </w:rPr>
        <w:t xml:space="preserve">4º não havendo candidatos das </w:t>
      </w:r>
      <w:r w:rsidRPr="00F026F9">
        <w:rPr>
          <w:rFonts w:ascii="Arial" w:hAnsi="Arial" w:cs="Arial"/>
          <w:b/>
          <w:i/>
          <w:sz w:val="18"/>
          <w:szCs w:val="18"/>
        </w:rPr>
        <w:t xml:space="preserve">alíneas "c", "d" </w:t>
      </w:r>
      <w:r>
        <w:rPr>
          <w:rFonts w:ascii="Arial" w:hAnsi="Arial" w:cs="Arial"/>
          <w:b/>
          <w:i/>
          <w:sz w:val="18"/>
          <w:szCs w:val="18"/>
        </w:rPr>
        <w:t>,</w:t>
      </w:r>
      <w:r w:rsidRPr="00F026F9">
        <w:rPr>
          <w:rFonts w:ascii="Arial" w:hAnsi="Arial" w:cs="Arial"/>
          <w:b/>
          <w:i/>
          <w:sz w:val="18"/>
          <w:szCs w:val="18"/>
        </w:rPr>
        <w:t xml:space="preserve"> "e"</w:t>
      </w:r>
      <w:r>
        <w:rPr>
          <w:rFonts w:ascii="Arial" w:hAnsi="Arial" w:cs="Arial"/>
          <w:b/>
          <w:i/>
          <w:sz w:val="18"/>
          <w:szCs w:val="18"/>
        </w:rPr>
        <w:t xml:space="preserve">ou "f" </w:t>
      </w:r>
      <w:r w:rsidR="00093AA0">
        <w:rPr>
          <w:rFonts w:ascii="Arial" w:hAnsi="Arial" w:cs="Arial"/>
          <w:b/>
          <w:i/>
          <w:sz w:val="18"/>
          <w:szCs w:val="18"/>
        </w:rPr>
        <w:t xml:space="preserve">para compor a chapa do Conselho Deliberativa e Conselho Fiscal, a vaga </w:t>
      </w:r>
      <w:r w:rsidR="00F1052D">
        <w:rPr>
          <w:rFonts w:ascii="Arial" w:hAnsi="Arial" w:cs="Arial"/>
          <w:b/>
          <w:i/>
          <w:sz w:val="18"/>
          <w:szCs w:val="18"/>
        </w:rPr>
        <w:t>será</w:t>
      </w:r>
      <w:r w:rsidR="00093AA0">
        <w:rPr>
          <w:rFonts w:ascii="Arial" w:hAnsi="Arial" w:cs="Arial"/>
          <w:b/>
          <w:i/>
          <w:sz w:val="18"/>
          <w:szCs w:val="18"/>
        </w:rPr>
        <w:t xml:space="preserve"> preenchida por associado da alínea "b".</w:t>
      </w:r>
    </w:p>
    <w:p w:rsidR="00B44C70" w:rsidRDefault="00B40A19" w:rsidP="00E843DD"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</w:t>
      </w:r>
    </w:p>
    <w:p w:rsidR="00B44C70" w:rsidRDefault="00B44C70" w:rsidP="004C1E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Após passamos a analisar dos dados fornecidos pela IBCM, através do Oficio nº 168/Sec/2016 (Resposta), que apresenta dados estatísticos divididos por níveis de acordo com as alíneas "a", "b", "c", "d" e "e" do Artigo 61 do Estatuto, transcritos abaixo:</w:t>
      </w:r>
      <w:r w:rsidR="00F46227">
        <w:rPr>
          <w:rFonts w:ascii="Arial" w:hAnsi="Arial" w:cs="Arial"/>
        </w:rPr>
        <w:t xml:space="preserve"> (Dados Simplificados)</w:t>
      </w:r>
    </w:p>
    <w:tbl>
      <w:tblPr>
        <w:tblStyle w:val="SombreamentoMdio1-nfase5"/>
        <w:tblW w:w="0" w:type="auto"/>
        <w:tblLook w:val="04A0"/>
      </w:tblPr>
      <w:tblGrid>
        <w:gridCol w:w="2881"/>
        <w:gridCol w:w="2881"/>
        <w:gridCol w:w="2882"/>
      </w:tblGrid>
      <w:tr w:rsidR="00F46227" w:rsidTr="0081205F">
        <w:trPr>
          <w:cnfStyle w:val="100000000000"/>
        </w:trPr>
        <w:tc>
          <w:tcPr>
            <w:cnfStyle w:val="001000000000"/>
            <w:tcW w:w="8644" w:type="dxa"/>
            <w:gridSpan w:val="3"/>
          </w:tcPr>
          <w:p w:rsidR="00F46227" w:rsidRDefault="00F46227" w:rsidP="00F46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Antigo</w:t>
            </w:r>
          </w:p>
        </w:tc>
      </w:tr>
      <w:tr w:rsidR="00F46227" w:rsidRPr="00F46227" w:rsidTr="0081205F">
        <w:trPr>
          <w:cnfStyle w:val="000000100000"/>
        </w:trPr>
        <w:tc>
          <w:tcPr>
            <w:cnfStyle w:val="001000000000"/>
            <w:tcW w:w="2881" w:type="dxa"/>
          </w:tcPr>
          <w:p w:rsidR="00F46227" w:rsidRPr="00F46227" w:rsidRDefault="00F1052D" w:rsidP="00F46227">
            <w:pPr>
              <w:jc w:val="center"/>
              <w:rPr>
                <w:rFonts w:ascii="Arial" w:hAnsi="Arial" w:cs="Arial"/>
                <w:b w:val="0"/>
                <w:i/>
              </w:rPr>
            </w:pPr>
            <w:r w:rsidRPr="00F46227">
              <w:rPr>
                <w:rFonts w:ascii="Arial" w:hAnsi="Arial" w:cs="Arial"/>
                <w:i/>
              </w:rPr>
              <w:t>Nível</w:t>
            </w:r>
          </w:p>
        </w:tc>
        <w:tc>
          <w:tcPr>
            <w:tcW w:w="2881" w:type="dxa"/>
          </w:tcPr>
          <w:p w:rsidR="00F46227" w:rsidRPr="00F46227" w:rsidRDefault="00F1052D" w:rsidP="00F46227">
            <w:pPr>
              <w:jc w:val="center"/>
              <w:cnfStyle w:val="000000100000"/>
              <w:rPr>
                <w:rFonts w:ascii="Arial" w:hAnsi="Arial" w:cs="Arial"/>
                <w:b/>
                <w:i/>
              </w:rPr>
            </w:pPr>
            <w:r w:rsidRPr="00F46227">
              <w:rPr>
                <w:rFonts w:ascii="Arial" w:hAnsi="Arial" w:cs="Arial"/>
                <w:b/>
                <w:i/>
              </w:rPr>
              <w:t>Número</w:t>
            </w:r>
            <w:r w:rsidR="00F46227" w:rsidRPr="00F46227">
              <w:rPr>
                <w:rFonts w:ascii="Arial" w:hAnsi="Arial" w:cs="Arial"/>
                <w:b/>
                <w:i/>
              </w:rPr>
              <w:t xml:space="preserve"> de Sócios</w:t>
            </w:r>
          </w:p>
        </w:tc>
        <w:tc>
          <w:tcPr>
            <w:tcW w:w="2882" w:type="dxa"/>
          </w:tcPr>
          <w:p w:rsidR="00F46227" w:rsidRPr="00F46227" w:rsidRDefault="00F46227" w:rsidP="00F46227">
            <w:pPr>
              <w:jc w:val="center"/>
              <w:cnfStyle w:val="000000100000"/>
              <w:rPr>
                <w:rFonts w:ascii="Arial" w:hAnsi="Arial" w:cs="Arial"/>
                <w:b/>
                <w:i/>
              </w:rPr>
            </w:pPr>
            <w:r w:rsidRPr="00F46227">
              <w:rPr>
                <w:rFonts w:ascii="Arial" w:hAnsi="Arial" w:cs="Arial"/>
                <w:b/>
                <w:i/>
              </w:rPr>
              <w:t>Percentual</w:t>
            </w:r>
          </w:p>
        </w:tc>
      </w:tr>
      <w:tr w:rsidR="00F46227" w:rsidTr="0081205F">
        <w:trPr>
          <w:cnfStyle w:val="000000010000"/>
        </w:trPr>
        <w:tc>
          <w:tcPr>
            <w:cnfStyle w:val="001000000000"/>
            <w:tcW w:w="2881" w:type="dxa"/>
          </w:tcPr>
          <w:p w:rsidR="00F46227" w:rsidRDefault="00F46227" w:rsidP="004C1E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A (Nível Superior)</w:t>
            </w:r>
          </w:p>
        </w:tc>
        <w:tc>
          <w:tcPr>
            <w:tcW w:w="2881" w:type="dxa"/>
          </w:tcPr>
          <w:p w:rsidR="00F46227" w:rsidRDefault="00F46227" w:rsidP="00F46227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</w:t>
            </w:r>
          </w:p>
        </w:tc>
        <w:tc>
          <w:tcPr>
            <w:tcW w:w="2882" w:type="dxa"/>
          </w:tcPr>
          <w:p w:rsidR="00F46227" w:rsidRDefault="00F46227" w:rsidP="00F46227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4,12%</w:t>
            </w:r>
          </w:p>
        </w:tc>
      </w:tr>
      <w:tr w:rsidR="00F46227" w:rsidTr="0081205F">
        <w:trPr>
          <w:cnfStyle w:val="000000100000"/>
        </w:trPr>
        <w:tc>
          <w:tcPr>
            <w:cnfStyle w:val="001000000000"/>
            <w:tcW w:w="2881" w:type="dxa"/>
          </w:tcPr>
          <w:p w:rsidR="00F46227" w:rsidRDefault="00F46227" w:rsidP="004C1E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B (Nível Médio)</w:t>
            </w:r>
          </w:p>
        </w:tc>
        <w:tc>
          <w:tcPr>
            <w:tcW w:w="2881" w:type="dxa"/>
          </w:tcPr>
          <w:p w:rsidR="00F46227" w:rsidRDefault="00F46227" w:rsidP="00F46227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</w:t>
            </w:r>
          </w:p>
        </w:tc>
        <w:tc>
          <w:tcPr>
            <w:tcW w:w="2882" w:type="dxa"/>
          </w:tcPr>
          <w:p w:rsidR="00F46227" w:rsidRDefault="00F46227" w:rsidP="00F46227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95,88%</w:t>
            </w:r>
          </w:p>
        </w:tc>
      </w:tr>
      <w:tr w:rsidR="00F46227" w:rsidTr="0081205F">
        <w:trPr>
          <w:cnfStyle w:val="000000010000"/>
        </w:trPr>
        <w:tc>
          <w:tcPr>
            <w:cnfStyle w:val="001000000000"/>
            <w:tcW w:w="2881" w:type="dxa"/>
          </w:tcPr>
          <w:p w:rsidR="00F46227" w:rsidRDefault="00F46227" w:rsidP="004C1E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Tenente (Nível Médio)</w:t>
            </w:r>
          </w:p>
        </w:tc>
        <w:tc>
          <w:tcPr>
            <w:tcW w:w="2881" w:type="dxa"/>
          </w:tcPr>
          <w:p w:rsidR="00F46227" w:rsidRDefault="00F46227" w:rsidP="00F46227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</w:t>
            </w:r>
          </w:p>
        </w:tc>
        <w:tc>
          <w:tcPr>
            <w:tcW w:w="2882" w:type="dxa"/>
          </w:tcPr>
          <w:p w:rsidR="00F46227" w:rsidRDefault="00F46227" w:rsidP="00F46227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11,66%</w:t>
            </w:r>
          </w:p>
        </w:tc>
      </w:tr>
      <w:tr w:rsidR="00F46227" w:rsidTr="0081205F">
        <w:trPr>
          <w:cnfStyle w:val="000000100000"/>
        </w:trPr>
        <w:tc>
          <w:tcPr>
            <w:cnfStyle w:val="001000000000"/>
            <w:tcW w:w="8644" w:type="dxa"/>
            <w:gridSpan w:val="3"/>
          </w:tcPr>
          <w:p w:rsidR="00F46227" w:rsidRDefault="000F0BD6" w:rsidP="00F46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ANSS</w:t>
            </w:r>
          </w:p>
        </w:tc>
      </w:tr>
      <w:tr w:rsidR="000F0BD6" w:rsidTr="0081205F">
        <w:trPr>
          <w:cnfStyle w:val="000000010000"/>
        </w:trPr>
        <w:tc>
          <w:tcPr>
            <w:cnfStyle w:val="001000000000"/>
            <w:tcW w:w="2881" w:type="dxa"/>
          </w:tcPr>
          <w:p w:rsidR="000F0BD6" w:rsidRPr="00F46227" w:rsidRDefault="00F1052D" w:rsidP="00FE197F">
            <w:pPr>
              <w:jc w:val="center"/>
              <w:rPr>
                <w:rFonts w:ascii="Arial" w:hAnsi="Arial" w:cs="Arial"/>
                <w:b w:val="0"/>
                <w:i/>
              </w:rPr>
            </w:pPr>
            <w:r w:rsidRPr="00F46227">
              <w:rPr>
                <w:rFonts w:ascii="Arial" w:hAnsi="Arial" w:cs="Arial"/>
                <w:i/>
              </w:rPr>
              <w:t>Nível</w:t>
            </w:r>
          </w:p>
        </w:tc>
        <w:tc>
          <w:tcPr>
            <w:tcW w:w="2881" w:type="dxa"/>
          </w:tcPr>
          <w:p w:rsidR="000F0BD6" w:rsidRPr="00F46227" w:rsidRDefault="00F1052D" w:rsidP="00FE197F">
            <w:pPr>
              <w:jc w:val="center"/>
              <w:cnfStyle w:val="000000010000"/>
              <w:rPr>
                <w:rFonts w:ascii="Arial" w:hAnsi="Arial" w:cs="Arial"/>
                <w:b/>
                <w:i/>
              </w:rPr>
            </w:pPr>
            <w:r w:rsidRPr="00F46227">
              <w:rPr>
                <w:rFonts w:ascii="Arial" w:hAnsi="Arial" w:cs="Arial"/>
                <w:b/>
                <w:i/>
              </w:rPr>
              <w:t>Número</w:t>
            </w:r>
            <w:r w:rsidR="000F0BD6" w:rsidRPr="00F46227">
              <w:rPr>
                <w:rFonts w:ascii="Arial" w:hAnsi="Arial" w:cs="Arial"/>
                <w:b/>
                <w:i/>
              </w:rPr>
              <w:t xml:space="preserve"> de Sócios</w:t>
            </w:r>
          </w:p>
        </w:tc>
        <w:tc>
          <w:tcPr>
            <w:tcW w:w="2882" w:type="dxa"/>
          </w:tcPr>
          <w:p w:rsidR="000F0BD6" w:rsidRPr="00F46227" w:rsidRDefault="000F0BD6" w:rsidP="00FE197F">
            <w:pPr>
              <w:jc w:val="center"/>
              <w:cnfStyle w:val="000000010000"/>
              <w:rPr>
                <w:rFonts w:ascii="Arial" w:hAnsi="Arial" w:cs="Arial"/>
                <w:b/>
                <w:i/>
              </w:rPr>
            </w:pPr>
            <w:r w:rsidRPr="00F46227">
              <w:rPr>
                <w:rFonts w:ascii="Arial" w:hAnsi="Arial" w:cs="Arial"/>
                <w:b/>
                <w:i/>
              </w:rPr>
              <w:t>Percentual</w:t>
            </w:r>
          </w:p>
        </w:tc>
      </w:tr>
      <w:tr w:rsidR="000F0BD6" w:rsidTr="0081205F">
        <w:trPr>
          <w:cnfStyle w:val="000000100000"/>
        </w:trPr>
        <w:tc>
          <w:tcPr>
            <w:cnfStyle w:val="001000000000"/>
            <w:tcW w:w="2881" w:type="dxa"/>
          </w:tcPr>
          <w:p w:rsidR="000F0BD6" w:rsidRDefault="000F0BD6" w:rsidP="00FE1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A (Nível Superior)</w:t>
            </w:r>
          </w:p>
        </w:tc>
        <w:tc>
          <w:tcPr>
            <w:tcW w:w="2881" w:type="dxa"/>
          </w:tcPr>
          <w:p w:rsidR="000F0BD6" w:rsidRDefault="000F0BD6" w:rsidP="00FE197F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882" w:type="dxa"/>
          </w:tcPr>
          <w:p w:rsidR="000F0BD6" w:rsidRDefault="000F0BD6" w:rsidP="00FE197F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5,99%</w:t>
            </w:r>
          </w:p>
        </w:tc>
      </w:tr>
      <w:tr w:rsidR="000F0BD6" w:rsidTr="0081205F">
        <w:trPr>
          <w:cnfStyle w:val="000000010000"/>
        </w:trPr>
        <w:tc>
          <w:tcPr>
            <w:cnfStyle w:val="001000000000"/>
            <w:tcW w:w="2881" w:type="dxa"/>
          </w:tcPr>
          <w:p w:rsidR="000F0BD6" w:rsidRDefault="000F0BD6" w:rsidP="00FE1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B (Nível Médio)</w:t>
            </w:r>
          </w:p>
        </w:tc>
        <w:tc>
          <w:tcPr>
            <w:tcW w:w="2881" w:type="dxa"/>
          </w:tcPr>
          <w:p w:rsidR="000F0BD6" w:rsidRDefault="000F0BD6" w:rsidP="00FE197F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</w:t>
            </w:r>
          </w:p>
        </w:tc>
        <w:tc>
          <w:tcPr>
            <w:tcW w:w="2882" w:type="dxa"/>
          </w:tcPr>
          <w:p w:rsidR="000F0BD6" w:rsidRDefault="000F0BD6" w:rsidP="00FE197F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94,01%</w:t>
            </w:r>
          </w:p>
        </w:tc>
      </w:tr>
      <w:tr w:rsidR="000F0BD6" w:rsidTr="0081205F">
        <w:trPr>
          <w:cnfStyle w:val="000000100000"/>
        </w:trPr>
        <w:tc>
          <w:tcPr>
            <w:cnfStyle w:val="001000000000"/>
            <w:tcW w:w="2881" w:type="dxa"/>
          </w:tcPr>
          <w:p w:rsidR="000F0BD6" w:rsidRDefault="000F0BD6" w:rsidP="00FE1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Tenente (Nível Médio)</w:t>
            </w:r>
          </w:p>
        </w:tc>
        <w:tc>
          <w:tcPr>
            <w:tcW w:w="2881" w:type="dxa"/>
          </w:tcPr>
          <w:p w:rsidR="000F0BD6" w:rsidRDefault="000F0BD6" w:rsidP="00FE197F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2882" w:type="dxa"/>
          </w:tcPr>
          <w:p w:rsidR="000F0BD6" w:rsidRDefault="000F0BD6" w:rsidP="000F0BD6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18,96%</w:t>
            </w:r>
          </w:p>
        </w:tc>
      </w:tr>
      <w:tr w:rsidR="007516B9" w:rsidTr="0081205F">
        <w:trPr>
          <w:cnfStyle w:val="000000010000"/>
        </w:trPr>
        <w:tc>
          <w:tcPr>
            <w:cnfStyle w:val="001000000000"/>
            <w:tcW w:w="8644" w:type="dxa"/>
            <w:gridSpan w:val="3"/>
          </w:tcPr>
          <w:p w:rsidR="007516B9" w:rsidRDefault="007516B9" w:rsidP="00B45791">
            <w:pPr>
              <w:jc w:val="both"/>
              <w:rPr>
                <w:rFonts w:ascii="Arial" w:hAnsi="Arial" w:cs="Arial"/>
              </w:rPr>
            </w:pPr>
          </w:p>
        </w:tc>
      </w:tr>
      <w:tr w:rsidR="007516B9" w:rsidTr="0081205F">
        <w:trPr>
          <w:cnfStyle w:val="000000100000"/>
        </w:trPr>
        <w:tc>
          <w:tcPr>
            <w:cnfStyle w:val="001000000000"/>
            <w:tcW w:w="2881" w:type="dxa"/>
          </w:tcPr>
          <w:p w:rsidR="007516B9" w:rsidRPr="00F46227" w:rsidRDefault="00F1052D" w:rsidP="00FE197F">
            <w:pPr>
              <w:jc w:val="center"/>
              <w:rPr>
                <w:rFonts w:ascii="Arial" w:hAnsi="Arial" w:cs="Arial"/>
                <w:b w:val="0"/>
                <w:i/>
              </w:rPr>
            </w:pPr>
            <w:r w:rsidRPr="00F46227">
              <w:rPr>
                <w:rFonts w:ascii="Arial" w:hAnsi="Arial" w:cs="Arial"/>
                <w:i/>
              </w:rPr>
              <w:lastRenderedPageBreak/>
              <w:t>Nível</w:t>
            </w:r>
          </w:p>
        </w:tc>
        <w:tc>
          <w:tcPr>
            <w:tcW w:w="2881" w:type="dxa"/>
          </w:tcPr>
          <w:p w:rsidR="007516B9" w:rsidRPr="00F46227" w:rsidRDefault="00F1052D" w:rsidP="00FE197F">
            <w:pPr>
              <w:jc w:val="center"/>
              <w:cnfStyle w:val="000000100000"/>
              <w:rPr>
                <w:rFonts w:ascii="Arial" w:hAnsi="Arial" w:cs="Arial"/>
                <w:b/>
                <w:i/>
              </w:rPr>
            </w:pPr>
            <w:r w:rsidRPr="00F46227">
              <w:rPr>
                <w:rFonts w:ascii="Arial" w:hAnsi="Arial" w:cs="Arial"/>
                <w:b/>
                <w:i/>
              </w:rPr>
              <w:t>Número</w:t>
            </w:r>
            <w:r w:rsidR="007516B9" w:rsidRPr="00F46227">
              <w:rPr>
                <w:rFonts w:ascii="Arial" w:hAnsi="Arial" w:cs="Arial"/>
                <w:b/>
                <w:i/>
              </w:rPr>
              <w:t xml:space="preserve"> de Sócios</w:t>
            </w:r>
          </w:p>
        </w:tc>
        <w:tc>
          <w:tcPr>
            <w:tcW w:w="2882" w:type="dxa"/>
          </w:tcPr>
          <w:p w:rsidR="007516B9" w:rsidRPr="00F46227" w:rsidRDefault="007516B9" w:rsidP="00FE197F">
            <w:pPr>
              <w:jc w:val="center"/>
              <w:cnfStyle w:val="000000100000"/>
              <w:rPr>
                <w:rFonts w:ascii="Arial" w:hAnsi="Arial" w:cs="Arial"/>
                <w:b/>
                <w:i/>
              </w:rPr>
            </w:pPr>
            <w:r w:rsidRPr="00F46227">
              <w:rPr>
                <w:rFonts w:ascii="Arial" w:hAnsi="Arial" w:cs="Arial"/>
                <w:b/>
                <w:i/>
              </w:rPr>
              <w:t>Percentual</w:t>
            </w:r>
          </w:p>
        </w:tc>
      </w:tr>
      <w:tr w:rsidR="007516B9" w:rsidTr="0081205F">
        <w:trPr>
          <w:cnfStyle w:val="000000010000"/>
        </w:trPr>
        <w:tc>
          <w:tcPr>
            <w:cnfStyle w:val="001000000000"/>
            <w:tcW w:w="2881" w:type="dxa"/>
          </w:tcPr>
          <w:p w:rsidR="007516B9" w:rsidRDefault="007516B9" w:rsidP="00FE1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A (Nível Superior)</w:t>
            </w:r>
          </w:p>
        </w:tc>
        <w:tc>
          <w:tcPr>
            <w:tcW w:w="2881" w:type="dxa"/>
          </w:tcPr>
          <w:p w:rsidR="007516B9" w:rsidRDefault="007516B9" w:rsidP="00FE197F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  <w:tc>
          <w:tcPr>
            <w:tcW w:w="2882" w:type="dxa"/>
          </w:tcPr>
          <w:p w:rsidR="007516B9" w:rsidRDefault="007516B9" w:rsidP="00FE197F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4,27%</w:t>
            </w:r>
          </w:p>
        </w:tc>
      </w:tr>
      <w:tr w:rsidR="007516B9" w:rsidTr="0081205F">
        <w:trPr>
          <w:cnfStyle w:val="000000100000"/>
        </w:trPr>
        <w:tc>
          <w:tcPr>
            <w:cnfStyle w:val="001000000000"/>
            <w:tcW w:w="2881" w:type="dxa"/>
          </w:tcPr>
          <w:p w:rsidR="007516B9" w:rsidRDefault="007516B9" w:rsidP="00FE1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B (Nível Médio)</w:t>
            </w:r>
          </w:p>
        </w:tc>
        <w:tc>
          <w:tcPr>
            <w:tcW w:w="2881" w:type="dxa"/>
          </w:tcPr>
          <w:p w:rsidR="007516B9" w:rsidRDefault="007516B9" w:rsidP="00FE197F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10965</w:t>
            </w:r>
          </w:p>
        </w:tc>
        <w:tc>
          <w:tcPr>
            <w:tcW w:w="2882" w:type="dxa"/>
          </w:tcPr>
          <w:p w:rsidR="007516B9" w:rsidRDefault="007516B9" w:rsidP="00FE197F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95.73%</w:t>
            </w:r>
          </w:p>
        </w:tc>
      </w:tr>
      <w:tr w:rsidR="007516B9" w:rsidTr="0081205F">
        <w:trPr>
          <w:cnfStyle w:val="000000010000"/>
        </w:trPr>
        <w:tc>
          <w:tcPr>
            <w:cnfStyle w:val="001000000000"/>
            <w:tcW w:w="2881" w:type="dxa"/>
          </w:tcPr>
          <w:p w:rsidR="007516B9" w:rsidRDefault="007516B9" w:rsidP="004C1E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7516B9" w:rsidRDefault="00841BA3" w:rsidP="00841BA3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11455</w:t>
            </w:r>
          </w:p>
        </w:tc>
        <w:tc>
          <w:tcPr>
            <w:tcW w:w="2882" w:type="dxa"/>
          </w:tcPr>
          <w:p w:rsidR="007516B9" w:rsidRDefault="007516B9" w:rsidP="007516B9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100,00%</w:t>
            </w:r>
          </w:p>
        </w:tc>
      </w:tr>
    </w:tbl>
    <w:p w:rsidR="004C1EB4" w:rsidRDefault="00B40A19" w:rsidP="004C1E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dos dados apresentado temos um cenário onde um </w:t>
      </w:r>
      <w:r w:rsidR="00F1052D">
        <w:rPr>
          <w:rFonts w:ascii="Arial" w:hAnsi="Arial" w:cs="Arial"/>
        </w:rPr>
        <w:t>associado</w:t>
      </w:r>
      <w:r>
        <w:rPr>
          <w:rFonts w:ascii="Arial" w:hAnsi="Arial" w:cs="Arial"/>
        </w:rPr>
        <w:t xml:space="preserve"> ou um </w:t>
      </w:r>
      <w:r w:rsidR="00BE3971">
        <w:rPr>
          <w:rFonts w:ascii="Arial" w:hAnsi="Arial" w:cs="Arial"/>
        </w:rPr>
        <w:t>nível</w:t>
      </w:r>
      <w:r>
        <w:rPr>
          <w:rFonts w:ascii="Arial" w:hAnsi="Arial" w:cs="Arial"/>
        </w:rPr>
        <w:t xml:space="preserve"> que representa no </w:t>
      </w:r>
      <w:r w:rsidR="00F1052D">
        <w:rPr>
          <w:rFonts w:ascii="Arial" w:hAnsi="Arial" w:cs="Arial"/>
        </w:rPr>
        <w:t>máximo</w:t>
      </w:r>
      <w:r>
        <w:rPr>
          <w:rFonts w:ascii="Arial" w:hAnsi="Arial" w:cs="Arial"/>
        </w:rPr>
        <w:t xml:space="preserve"> 5% do quadro associativa </w:t>
      </w:r>
      <w:r w:rsidR="00BE3971">
        <w:rPr>
          <w:rFonts w:ascii="Arial" w:hAnsi="Arial" w:cs="Arial"/>
        </w:rPr>
        <w:t>detém</w:t>
      </w:r>
      <w:r>
        <w:rPr>
          <w:rFonts w:ascii="Arial" w:hAnsi="Arial" w:cs="Arial"/>
        </w:rPr>
        <w:t xml:space="preserve"> o direito de </w:t>
      </w:r>
      <w:r w:rsidR="00BE3971">
        <w:rPr>
          <w:rFonts w:ascii="Arial" w:hAnsi="Arial" w:cs="Arial"/>
        </w:rPr>
        <w:t>50% das decisões</w:t>
      </w:r>
      <w:r w:rsidR="00E843DD">
        <w:rPr>
          <w:rFonts w:ascii="Arial" w:hAnsi="Arial" w:cs="Arial"/>
        </w:rPr>
        <w:t xml:space="preserve"> na Diretoria Executiva e 35% nos Conselho Fiscal e Conselho Deliberativo</w:t>
      </w:r>
      <w:r w:rsidR="00BE3971">
        <w:rPr>
          <w:rFonts w:ascii="Arial" w:hAnsi="Arial" w:cs="Arial"/>
        </w:rPr>
        <w:t xml:space="preserve"> que afetam os outros 95% do quadro associativo.</w:t>
      </w:r>
    </w:p>
    <w:p w:rsidR="00B40A19" w:rsidRDefault="00BE3971" w:rsidP="004C1E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 reserva de vagas é uma instituição que senão é considerada ilegal é uma pratica imoral no estado democrático onde a maioria define os rumos para atender o todo.</w:t>
      </w:r>
    </w:p>
    <w:p w:rsidR="00B40A19" w:rsidRDefault="00BE3971" w:rsidP="004C1E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entender que qualquer nível, entidade ou pessoa física independente do quantitativo </w:t>
      </w:r>
      <w:r w:rsidR="00C95EBC">
        <w:rPr>
          <w:rFonts w:ascii="Arial" w:hAnsi="Arial" w:cs="Arial"/>
        </w:rPr>
        <w:t>de participação</w:t>
      </w:r>
      <w:r>
        <w:rPr>
          <w:rFonts w:ascii="Arial" w:hAnsi="Arial" w:cs="Arial"/>
        </w:rPr>
        <w:t xml:space="preserve"> na vida financeira da entidade detenha 50% de vagas garantidas e por </w:t>
      </w:r>
      <w:r w:rsidR="00C95EBC">
        <w:rPr>
          <w:rFonts w:ascii="Arial" w:hAnsi="Arial" w:cs="Arial"/>
        </w:rPr>
        <w:t>consequência</w:t>
      </w:r>
      <w:r>
        <w:rPr>
          <w:rFonts w:ascii="Arial" w:hAnsi="Arial" w:cs="Arial"/>
        </w:rPr>
        <w:t xml:space="preserve"> 50% das decisões, </w:t>
      </w:r>
      <w:r w:rsidR="00E843DD">
        <w:rPr>
          <w:rFonts w:ascii="Arial" w:hAnsi="Arial" w:cs="Arial"/>
        </w:rPr>
        <w:t>por exemplo,</w:t>
      </w:r>
      <w:r>
        <w:rPr>
          <w:rFonts w:ascii="Arial" w:hAnsi="Arial" w:cs="Arial"/>
        </w:rPr>
        <w:t xml:space="preserve"> se houverem somente dois sócios do nível superior estes estariam </w:t>
      </w:r>
      <w:r w:rsidR="00C95EBC">
        <w:rPr>
          <w:rFonts w:ascii="Arial" w:hAnsi="Arial" w:cs="Arial"/>
        </w:rPr>
        <w:t>garantidos no</w:t>
      </w:r>
      <w:r>
        <w:rPr>
          <w:rFonts w:ascii="Arial" w:hAnsi="Arial" w:cs="Arial"/>
        </w:rPr>
        <w:t xml:space="preserve"> mínimo nas vagas da Diretoria Executiva</w:t>
      </w:r>
      <w:r w:rsidR="00093AA0">
        <w:rPr>
          <w:rFonts w:ascii="Arial" w:hAnsi="Arial" w:cs="Arial"/>
        </w:rPr>
        <w:t xml:space="preserve"> e se houverem menos de 07 sócios de nível superior estas ficariam em aberto uma vez que o </w:t>
      </w:r>
      <w:r w:rsidR="00093AA0" w:rsidRPr="00093AA0">
        <w:rPr>
          <w:rFonts w:ascii="Arial" w:hAnsi="Arial" w:cs="Arial"/>
        </w:rPr>
        <w:t xml:space="preserve">§4º </w:t>
      </w:r>
      <w:r w:rsidR="00093AA0">
        <w:rPr>
          <w:rFonts w:ascii="Arial" w:hAnsi="Arial" w:cs="Arial"/>
        </w:rPr>
        <w:t xml:space="preserve">do Art. 62 </w:t>
      </w:r>
      <w:r w:rsidR="00093AA0" w:rsidRPr="00093AA0">
        <w:rPr>
          <w:rFonts w:ascii="Arial" w:hAnsi="Arial" w:cs="Arial"/>
        </w:rPr>
        <w:t>não prevê a substituição por qualquer outro nível.</w:t>
      </w:r>
    </w:p>
    <w:p w:rsidR="00093AA0" w:rsidRDefault="00093AA0" w:rsidP="004C1E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 separação de funç</w:t>
      </w:r>
      <w:r w:rsidR="009027EB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estipulada pela Brigada Militar </w:t>
      </w:r>
      <w:r w:rsidR="00C95EBC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calcada na divisão de carreira e não se aplica as demais funções principalmente em instituições autônomas sem vínculos f</w:t>
      </w:r>
      <w:r w:rsidR="009027EB">
        <w:rPr>
          <w:rFonts w:ascii="Arial" w:hAnsi="Arial" w:cs="Arial"/>
        </w:rPr>
        <w:t>uncionais com a Brigada Militar.</w:t>
      </w:r>
    </w:p>
    <w:p w:rsidR="009027EB" w:rsidRDefault="009027EB" w:rsidP="004C1E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Podemos trazer como exemplo o Colégio Tiradentes que até meados de 1997, tinha reserva de vagas no percentual de 51% para o Curso de Formação de Oficiais tendo fim devido a inúmeras ações judiciais que consideravam este procedimento ilegal e em desacordo com o artigo 5º </w:t>
      </w:r>
      <w:r w:rsidR="007E3907">
        <w:rPr>
          <w:rFonts w:ascii="Arial" w:hAnsi="Arial" w:cs="Arial"/>
        </w:rPr>
        <w:t xml:space="preserve">caput </w:t>
      </w:r>
      <w:r>
        <w:rPr>
          <w:rFonts w:ascii="Arial" w:hAnsi="Arial" w:cs="Arial"/>
        </w:rPr>
        <w:t>da Constituição</w:t>
      </w:r>
      <w:r w:rsidR="007E3907">
        <w:rPr>
          <w:rFonts w:ascii="Arial" w:hAnsi="Arial" w:cs="Arial"/>
        </w:rPr>
        <w:t xml:space="preserve"> Federal.</w:t>
      </w:r>
    </w:p>
    <w:p w:rsidR="007E3907" w:rsidRDefault="00841BA3" w:rsidP="004C1E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Somente para ilustrar a injustiça dos fatos narrados, os tenente participam com nada menos que 1.403 </w:t>
      </w:r>
      <w:r w:rsidR="00C95EBC">
        <w:rPr>
          <w:rFonts w:ascii="Arial" w:hAnsi="Arial" w:cs="Arial"/>
        </w:rPr>
        <w:t>associados</w:t>
      </w:r>
      <w:r>
        <w:rPr>
          <w:rFonts w:ascii="Arial" w:hAnsi="Arial" w:cs="Arial"/>
        </w:rPr>
        <w:t xml:space="preserve"> que perfazem 12,24% do quadro associativo para uma contrapartida de 490 </w:t>
      </w:r>
      <w:r w:rsidR="00C95EBC">
        <w:rPr>
          <w:rFonts w:ascii="Arial" w:hAnsi="Arial" w:cs="Arial"/>
        </w:rPr>
        <w:t>associados</w:t>
      </w:r>
      <w:r>
        <w:rPr>
          <w:rFonts w:ascii="Arial" w:hAnsi="Arial" w:cs="Arial"/>
        </w:rPr>
        <w:t xml:space="preserve"> de todo o nível superior que representam 4,27% do quadro associativo.</w:t>
      </w:r>
    </w:p>
    <w:p w:rsidR="003B060A" w:rsidRPr="003B060A" w:rsidRDefault="003B060A" w:rsidP="004C1EB4">
      <w:pPr>
        <w:ind w:firstLine="851"/>
        <w:jc w:val="both"/>
        <w:rPr>
          <w:rFonts w:ascii="Arial" w:hAnsi="Arial" w:cs="Arial"/>
          <w:b/>
          <w:i/>
        </w:rPr>
      </w:pPr>
      <w:r w:rsidRPr="003B060A">
        <w:rPr>
          <w:rFonts w:ascii="Arial" w:hAnsi="Arial" w:cs="Arial"/>
          <w:b/>
          <w:i/>
        </w:rPr>
        <w:t>Conclusão:</w:t>
      </w:r>
    </w:p>
    <w:p w:rsidR="00B40A19" w:rsidRDefault="007E3907" w:rsidP="004C1E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Senhor Presidente diante dos fatos acima expostos e analisados entendemos</w:t>
      </w:r>
      <w:r w:rsidR="00D646ED">
        <w:rPr>
          <w:rFonts w:ascii="Arial" w:hAnsi="Arial" w:cs="Arial"/>
        </w:rPr>
        <w:t xml:space="preserve"> ser necessário um alteração dos critérios de distribuição de vagas para a Diretoria Executiva, Conselho Fiscal e Conselho Deliberativo definidos pelo Art. 62 do presente Estatuto, para tanto gostaríamos de apresentar as seguinte sugestões.</w:t>
      </w:r>
    </w:p>
    <w:p w:rsidR="00D646ED" w:rsidRDefault="00D646ED" w:rsidP="004C1EB4">
      <w:pPr>
        <w:ind w:firstLine="851"/>
        <w:jc w:val="both"/>
        <w:rPr>
          <w:rFonts w:ascii="Arial" w:hAnsi="Arial" w:cs="Arial"/>
          <w:b/>
          <w:i/>
        </w:rPr>
      </w:pPr>
      <w:r w:rsidRPr="00D646ED">
        <w:rPr>
          <w:rFonts w:ascii="Arial" w:hAnsi="Arial" w:cs="Arial"/>
          <w:b/>
          <w:i/>
        </w:rPr>
        <w:t>Hipótese 01</w:t>
      </w:r>
    </w:p>
    <w:p w:rsidR="00D646ED" w:rsidRDefault="00D646ED" w:rsidP="004C1EB4">
      <w:pPr>
        <w:ind w:firstLine="851"/>
        <w:jc w:val="both"/>
        <w:rPr>
          <w:rFonts w:ascii="Arial" w:hAnsi="Arial" w:cs="Arial"/>
        </w:rPr>
      </w:pPr>
      <w:r w:rsidRPr="00D646ED">
        <w:rPr>
          <w:rFonts w:ascii="Arial" w:hAnsi="Arial" w:cs="Arial"/>
        </w:rPr>
        <w:t xml:space="preserve">Supressão total dos Artigos 61 e 62 deixando a disputa eleitoral entre todos os sócios partindo do </w:t>
      </w:r>
      <w:r w:rsidR="00C95EBC" w:rsidRPr="00D646ED">
        <w:rPr>
          <w:rFonts w:ascii="Arial" w:hAnsi="Arial" w:cs="Arial"/>
        </w:rPr>
        <w:t>princípio</w:t>
      </w:r>
      <w:r w:rsidRPr="00D646ED">
        <w:rPr>
          <w:rFonts w:ascii="Arial" w:hAnsi="Arial" w:cs="Arial"/>
        </w:rPr>
        <w:t xml:space="preserve"> de </w:t>
      </w:r>
      <w:r w:rsidRPr="00D646ED">
        <w:rPr>
          <w:rFonts w:ascii="Arial" w:hAnsi="Arial" w:cs="Arial"/>
          <w:b/>
          <w:i/>
        </w:rPr>
        <w:t>"quem vota pode ser votado",</w:t>
      </w:r>
      <w:r w:rsidRPr="00D646ED">
        <w:rPr>
          <w:rFonts w:ascii="Arial" w:hAnsi="Arial" w:cs="Arial"/>
        </w:rPr>
        <w:t xml:space="preserve"> onde cada </w:t>
      </w:r>
      <w:r w:rsidR="00C95EBC">
        <w:rPr>
          <w:rFonts w:ascii="Arial" w:hAnsi="Arial" w:cs="Arial"/>
        </w:rPr>
        <w:t>associado</w:t>
      </w:r>
      <w:r w:rsidRPr="00D646ED">
        <w:rPr>
          <w:rFonts w:ascii="Arial" w:hAnsi="Arial" w:cs="Arial"/>
        </w:rPr>
        <w:t xml:space="preserve"> se apresenta como candidato a função que quer exercer e deixa</w:t>
      </w:r>
      <w:r>
        <w:rPr>
          <w:rFonts w:ascii="Arial" w:hAnsi="Arial" w:cs="Arial"/>
        </w:rPr>
        <w:t>ndo</w:t>
      </w:r>
      <w:r w:rsidRPr="00D646ED">
        <w:rPr>
          <w:rFonts w:ascii="Arial" w:hAnsi="Arial" w:cs="Arial"/>
        </w:rPr>
        <w:t xml:space="preserve"> em </w:t>
      </w:r>
      <w:r w:rsidRPr="00D646ED">
        <w:rPr>
          <w:rFonts w:ascii="Arial" w:hAnsi="Arial" w:cs="Arial"/>
        </w:rPr>
        <w:lastRenderedPageBreak/>
        <w:t>aberto a forma de composição das chapas</w:t>
      </w:r>
      <w:r>
        <w:rPr>
          <w:rFonts w:ascii="Arial" w:hAnsi="Arial" w:cs="Arial"/>
        </w:rPr>
        <w:t xml:space="preserve">, tornando desta forma o processo mais </w:t>
      </w:r>
      <w:r w:rsidR="00025F3C">
        <w:rPr>
          <w:rFonts w:ascii="Arial" w:hAnsi="Arial" w:cs="Arial"/>
        </w:rPr>
        <w:t>democrático</w:t>
      </w:r>
      <w:r>
        <w:rPr>
          <w:rFonts w:ascii="Arial" w:hAnsi="Arial" w:cs="Arial"/>
        </w:rPr>
        <w:t>.</w:t>
      </w:r>
    </w:p>
    <w:p w:rsidR="00C64DE9" w:rsidRDefault="00C64DE9" w:rsidP="00D646ED">
      <w:pPr>
        <w:ind w:firstLine="851"/>
        <w:jc w:val="both"/>
        <w:rPr>
          <w:rFonts w:ascii="Arial" w:hAnsi="Arial" w:cs="Arial"/>
          <w:b/>
          <w:i/>
        </w:rPr>
      </w:pPr>
    </w:p>
    <w:p w:rsidR="00D646ED" w:rsidRDefault="00D646ED" w:rsidP="00D646ED">
      <w:pPr>
        <w:ind w:firstLine="851"/>
        <w:jc w:val="both"/>
        <w:rPr>
          <w:rFonts w:ascii="Arial" w:hAnsi="Arial" w:cs="Arial"/>
          <w:b/>
          <w:i/>
        </w:rPr>
      </w:pPr>
      <w:r w:rsidRPr="00D646ED">
        <w:rPr>
          <w:rFonts w:ascii="Arial" w:hAnsi="Arial" w:cs="Arial"/>
          <w:b/>
          <w:i/>
        </w:rPr>
        <w:t>Hipótese 0</w:t>
      </w:r>
      <w:r>
        <w:rPr>
          <w:rFonts w:ascii="Arial" w:hAnsi="Arial" w:cs="Arial"/>
          <w:b/>
          <w:i/>
        </w:rPr>
        <w:t>2</w:t>
      </w:r>
    </w:p>
    <w:p w:rsidR="00D646ED" w:rsidRDefault="00025F3C" w:rsidP="00D646E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Alteração do Artigo 62 e seus </w:t>
      </w:r>
      <w:r w:rsidRPr="00093AA0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, deixando a composição de cargos separados por nível porém com participação diretamente proporcional a sua representatividade no quadro </w:t>
      </w:r>
      <w:r w:rsidR="00C95EBC">
        <w:rPr>
          <w:rFonts w:ascii="Arial" w:hAnsi="Arial" w:cs="Arial"/>
        </w:rPr>
        <w:t>associativo.</w:t>
      </w:r>
    </w:p>
    <w:p w:rsidR="00025F3C" w:rsidRPr="00D646ED" w:rsidRDefault="00025F3C" w:rsidP="00D646E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Ficando assim:</w:t>
      </w:r>
    </w:p>
    <w:tbl>
      <w:tblPr>
        <w:tblStyle w:val="SombreamentoMdio1-nfase5"/>
        <w:tblW w:w="0" w:type="auto"/>
        <w:tblLook w:val="04A0"/>
      </w:tblPr>
      <w:tblGrid>
        <w:gridCol w:w="2881"/>
        <w:gridCol w:w="2881"/>
        <w:gridCol w:w="2882"/>
      </w:tblGrid>
      <w:tr w:rsidR="00025F3C" w:rsidRPr="00F46227" w:rsidTr="00D95AA1">
        <w:trPr>
          <w:cnfStyle w:val="100000000000"/>
        </w:trPr>
        <w:tc>
          <w:tcPr>
            <w:cnfStyle w:val="001000000000"/>
            <w:tcW w:w="2881" w:type="dxa"/>
          </w:tcPr>
          <w:p w:rsidR="00025F3C" w:rsidRPr="00F46227" w:rsidRDefault="00025F3C" w:rsidP="00D95AA1">
            <w:pPr>
              <w:jc w:val="center"/>
              <w:rPr>
                <w:rFonts w:ascii="Arial" w:hAnsi="Arial" w:cs="Arial"/>
                <w:b w:val="0"/>
                <w:i/>
              </w:rPr>
            </w:pPr>
            <w:r w:rsidRPr="00F46227">
              <w:rPr>
                <w:rFonts w:ascii="Arial" w:hAnsi="Arial" w:cs="Arial"/>
                <w:i/>
              </w:rPr>
              <w:t>Nivel</w:t>
            </w:r>
          </w:p>
        </w:tc>
        <w:tc>
          <w:tcPr>
            <w:tcW w:w="2881" w:type="dxa"/>
          </w:tcPr>
          <w:p w:rsidR="00025F3C" w:rsidRPr="00F46227" w:rsidRDefault="00025F3C" w:rsidP="00D95AA1">
            <w:pPr>
              <w:jc w:val="center"/>
              <w:cnfStyle w:val="100000000000"/>
              <w:rPr>
                <w:rFonts w:ascii="Arial" w:hAnsi="Arial" w:cs="Arial"/>
                <w:b w:val="0"/>
                <w:i/>
              </w:rPr>
            </w:pPr>
            <w:r w:rsidRPr="00F46227">
              <w:rPr>
                <w:rFonts w:ascii="Arial" w:hAnsi="Arial" w:cs="Arial"/>
                <w:i/>
              </w:rPr>
              <w:t>Numero de Sócios</w:t>
            </w:r>
          </w:p>
        </w:tc>
        <w:tc>
          <w:tcPr>
            <w:tcW w:w="2882" w:type="dxa"/>
          </w:tcPr>
          <w:p w:rsidR="00025F3C" w:rsidRPr="00F46227" w:rsidRDefault="00025F3C" w:rsidP="00D95AA1">
            <w:pPr>
              <w:jc w:val="center"/>
              <w:cnfStyle w:val="100000000000"/>
              <w:rPr>
                <w:rFonts w:ascii="Arial" w:hAnsi="Arial" w:cs="Arial"/>
                <w:b w:val="0"/>
                <w:i/>
              </w:rPr>
            </w:pPr>
            <w:r w:rsidRPr="00F46227">
              <w:rPr>
                <w:rFonts w:ascii="Arial" w:hAnsi="Arial" w:cs="Arial"/>
                <w:i/>
              </w:rPr>
              <w:t>Percentual</w:t>
            </w:r>
          </w:p>
        </w:tc>
      </w:tr>
      <w:tr w:rsidR="00025F3C" w:rsidTr="00D95AA1">
        <w:trPr>
          <w:cnfStyle w:val="000000100000"/>
        </w:trPr>
        <w:tc>
          <w:tcPr>
            <w:cnfStyle w:val="001000000000"/>
            <w:tcW w:w="2881" w:type="dxa"/>
          </w:tcPr>
          <w:p w:rsidR="00025F3C" w:rsidRDefault="00025F3C" w:rsidP="00D95A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A (Nível Superior)</w:t>
            </w:r>
          </w:p>
        </w:tc>
        <w:tc>
          <w:tcPr>
            <w:tcW w:w="2881" w:type="dxa"/>
          </w:tcPr>
          <w:p w:rsidR="00025F3C" w:rsidRDefault="00025F3C" w:rsidP="00D95AA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  <w:tc>
          <w:tcPr>
            <w:tcW w:w="2882" w:type="dxa"/>
          </w:tcPr>
          <w:p w:rsidR="00025F3C" w:rsidRDefault="00025F3C" w:rsidP="00D95AA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4,27%</w:t>
            </w:r>
          </w:p>
        </w:tc>
      </w:tr>
      <w:tr w:rsidR="00025F3C" w:rsidTr="00D95AA1">
        <w:trPr>
          <w:cnfStyle w:val="000000010000"/>
        </w:trPr>
        <w:tc>
          <w:tcPr>
            <w:cnfStyle w:val="001000000000"/>
            <w:tcW w:w="2881" w:type="dxa"/>
          </w:tcPr>
          <w:p w:rsidR="00025F3C" w:rsidRDefault="00025F3C" w:rsidP="00D95A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B (Nível Médio)</w:t>
            </w:r>
          </w:p>
        </w:tc>
        <w:tc>
          <w:tcPr>
            <w:tcW w:w="2881" w:type="dxa"/>
          </w:tcPr>
          <w:p w:rsidR="00025F3C" w:rsidRDefault="00025F3C" w:rsidP="00D95AA1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10965</w:t>
            </w:r>
          </w:p>
        </w:tc>
        <w:tc>
          <w:tcPr>
            <w:tcW w:w="2882" w:type="dxa"/>
          </w:tcPr>
          <w:p w:rsidR="00025F3C" w:rsidRDefault="00025F3C" w:rsidP="00D95AA1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95.73%</w:t>
            </w:r>
          </w:p>
        </w:tc>
      </w:tr>
      <w:tr w:rsidR="00025F3C" w:rsidTr="00D95AA1">
        <w:trPr>
          <w:cnfStyle w:val="000000100000"/>
        </w:trPr>
        <w:tc>
          <w:tcPr>
            <w:cnfStyle w:val="001000000000"/>
            <w:tcW w:w="2881" w:type="dxa"/>
          </w:tcPr>
          <w:p w:rsidR="00025F3C" w:rsidRDefault="00025F3C" w:rsidP="00D95A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025F3C" w:rsidRDefault="00025F3C" w:rsidP="00D95AA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025F3C" w:rsidRDefault="00025F3C" w:rsidP="00D95AA1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100,00%</w:t>
            </w:r>
          </w:p>
        </w:tc>
      </w:tr>
    </w:tbl>
    <w:tbl>
      <w:tblPr>
        <w:tblStyle w:val="Tabelacomgrade"/>
        <w:tblW w:w="0" w:type="auto"/>
        <w:tblLook w:val="04A0"/>
      </w:tblPr>
      <w:tblGrid>
        <w:gridCol w:w="1229"/>
        <w:gridCol w:w="1230"/>
        <w:gridCol w:w="1341"/>
        <w:gridCol w:w="1232"/>
        <w:gridCol w:w="1232"/>
        <w:gridCol w:w="1234"/>
        <w:gridCol w:w="1222"/>
      </w:tblGrid>
      <w:tr w:rsidR="00204D59" w:rsidRPr="00204D59" w:rsidTr="00EE6EA8">
        <w:tc>
          <w:tcPr>
            <w:tcW w:w="6264" w:type="dxa"/>
            <w:gridSpan w:val="5"/>
            <w:shd w:val="clear" w:color="auto" w:fill="92D050"/>
          </w:tcPr>
          <w:p w:rsidR="00204D59" w:rsidRPr="00204D59" w:rsidRDefault="00204D59" w:rsidP="004C1EB4">
            <w:pPr>
              <w:jc w:val="both"/>
              <w:rPr>
                <w:rFonts w:ascii="Arial" w:hAnsi="Arial" w:cs="Arial"/>
                <w:b/>
                <w:i/>
              </w:rPr>
            </w:pPr>
            <w:r w:rsidRPr="00204D59">
              <w:rPr>
                <w:rFonts w:ascii="Arial" w:hAnsi="Arial" w:cs="Arial"/>
                <w:b/>
                <w:i/>
              </w:rPr>
              <w:t>Diretoria Executiva</w:t>
            </w:r>
          </w:p>
        </w:tc>
        <w:tc>
          <w:tcPr>
            <w:tcW w:w="1234" w:type="dxa"/>
            <w:shd w:val="clear" w:color="auto" w:fill="92D050"/>
          </w:tcPr>
          <w:p w:rsidR="00204D59" w:rsidRPr="00204D59" w:rsidRDefault="00204D59" w:rsidP="004C1EB4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04 Vagas</w:t>
            </w:r>
          </w:p>
        </w:tc>
        <w:tc>
          <w:tcPr>
            <w:tcW w:w="1222" w:type="dxa"/>
            <w:shd w:val="clear" w:color="auto" w:fill="92D050"/>
          </w:tcPr>
          <w:p w:rsidR="00204D59" w:rsidRPr="00204D59" w:rsidRDefault="00204D59" w:rsidP="004C1EB4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04D59" w:rsidRPr="00204D59" w:rsidTr="00EE6EA8">
        <w:tc>
          <w:tcPr>
            <w:tcW w:w="6264" w:type="dxa"/>
            <w:gridSpan w:val="5"/>
            <w:shd w:val="clear" w:color="auto" w:fill="00B0F0"/>
          </w:tcPr>
          <w:p w:rsidR="00204D59" w:rsidRPr="00204D59" w:rsidRDefault="00204D59" w:rsidP="004C1EB4">
            <w:pPr>
              <w:jc w:val="both"/>
              <w:rPr>
                <w:rFonts w:ascii="Arial" w:hAnsi="Arial" w:cs="Arial"/>
                <w:b/>
                <w:i/>
              </w:rPr>
            </w:pPr>
            <w:r w:rsidRPr="00204D59">
              <w:rPr>
                <w:rFonts w:ascii="Arial" w:hAnsi="Arial" w:cs="Arial"/>
                <w:b/>
                <w:i/>
              </w:rPr>
              <w:t>Conselho Fiscal</w:t>
            </w:r>
          </w:p>
        </w:tc>
        <w:tc>
          <w:tcPr>
            <w:tcW w:w="1234" w:type="dxa"/>
            <w:shd w:val="clear" w:color="auto" w:fill="00B0F0"/>
          </w:tcPr>
          <w:p w:rsidR="00204D59" w:rsidRPr="00204D59" w:rsidRDefault="00204D59" w:rsidP="004C1EB4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08 Vagas</w:t>
            </w:r>
          </w:p>
        </w:tc>
        <w:tc>
          <w:tcPr>
            <w:tcW w:w="1222" w:type="dxa"/>
            <w:shd w:val="clear" w:color="auto" w:fill="00B0F0"/>
          </w:tcPr>
          <w:p w:rsidR="00204D59" w:rsidRPr="00204D59" w:rsidRDefault="00204D59" w:rsidP="004C1EB4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04D59" w:rsidRPr="00204D59" w:rsidTr="00EE6EA8">
        <w:tc>
          <w:tcPr>
            <w:tcW w:w="6264" w:type="dxa"/>
            <w:gridSpan w:val="5"/>
            <w:shd w:val="clear" w:color="auto" w:fill="FF0000"/>
          </w:tcPr>
          <w:p w:rsidR="00204D59" w:rsidRPr="00204D59" w:rsidRDefault="00204D59" w:rsidP="004C1EB4">
            <w:pPr>
              <w:jc w:val="both"/>
              <w:rPr>
                <w:rFonts w:ascii="Arial" w:hAnsi="Arial" w:cs="Arial"/>
                <w:b/>
                <w:i/>
              </w:rPr>
            </w:pPr>
            <w:r w:rsidRPr="00204D59">
              <w:rPr>
                <w:rFonts w:ascii="Arial" w:hAnsi="Arial" w:cs="Arial"/>
                <w:b/>
                <w:i/>
              </w:rPr>
              <w:t>Conselho Deliberativo</w:t>
            </w:r>
          </w:p>
        </w:tc>
        <w:tc>
          <w:tcPr>
            <w:tcW w:w="1234" w:type="dxa"/>
            <w:shd w:val="clear" w:color="auto" w:fill="FF0000"/>
          </w:tcPr>
          <w:p w:rsidR="00204D59" w:rsidRPr="00204D59" w:rsidRDefault="00204D59" w:rsidP="004C1EB4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 Vagas</w:t>
            </w:r>
          </w:p>
        </w:tc>
        <w:tc>
          <w:tcPr>
            <w:tcW w:w="1222" w:type="dxa"/>
            <w:shd w:val="clear" w:color="auto" w:fill="FF0000"/>
          </w:tcPr>
          <w:p w:rsidR="00204D59" w:rsidRPr="00204D59" w:rsidRDefault="00204D59" w:rsidP="004C1EB4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025F3C" w:rsidRPr="00204D59" w:rsidTr="00EE6EA8">
        <w:tc>
          <w:tcPr>
            <w:tcW w:w="1229" w:type="dxa"/>
          </w:tcPr>
          <w:p w:rsidR="00025F3C" w:rsidRPr="00204D59" w:rsidRDefault="00025F3C" w:rsidP="004C1EB4">
            <w:pPr>
              <w:jc w:val="both"/>
              <w:rPr>
                <w:rFonts w:ascii="Arial" w:hAnsi="Arial" w:cs="Arial"/>
                <w:b/>
                <w:i/>
              </w:rPr>
            </w:pPr>
            <w:r w:rsidRPr="00204D59">
              <w:rPr>
                <w:rFonts w:ascii="Arial" w:hAnsi="Arial" w:cs="Arial"/>
                <w:b/>
                <w:i/>
              </w:rPr>
              <w:t>Nível</w:t>
            </w:r>
          </w:p>
        </w:tc>
        <w:tc>
          <w:tcPr>
            <w:tcW w:w="1230" w:type="dxa"/>
          </w:tcPr>
          <w:p w:rsidR="00025F3C" w:rsidRPr="00204D59" w:rsidRDefault="00025F3C" w:rsidP="004C1EB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4D59">
              <w:rPr>
                <w:rFonts w:ascii="Arial" w:hAnsi="Arial" w:cs="Arial"/>
                <w:b/>
                <w:i/>
                <w:sz w:val="20"/>
                <w:szCs w:val="20"/>
              </w:rPr>
              <w:t>Nr Sócios</w:t>
            </w:r>
          </w:p>
        </w:tc>
        <w:tc>
          <w:tcPr>
            <w:tcW w:w="1341" w:type="dxa"/>
          </w:tcPr>
          <w:p w:rsidR="00025F3C" w:rsidRPr="00204D59" w:rsidRDefault="00025F3C" w:rsidP="004C1EB4">
            <w:pPr>
              <w:jc w:val="both"/>
              <w:rPr>
                <w:rFonts w:ascii="Arial" w:hAnsi="Arial" w:cs="Arial"/>
                <w:b/>
                <w:i/>
              </w:rPr>
            </w:pPr>
            <w:r w:rsidRPr="00204D59">
              <w:rPr>
                <w:rFonts w:ascii="Arial" w:hAnsi="Arial" w:cs="Arial"/>
                <w:b/>
                <w:i/>
              </w:rPr>
              <w:t>Percentual</w:t>
            </w:r>
          </w:p>
        </w:tc>
        <w:tc>
          <w:tcPr>
            <w:tcW w:w="1232" w:type="dxa"/>
          </w:tcPr>
          <w:p w:rsidR="00025F3C" w:rsidRPr="00204D59" w:rsidRDefault="00204D59" w:rsidP="004C1EB4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Vagas DE</w:t>
            </w:r>
          </w:p>
        </w:tc>
        <w:tc>
          <w:tcPr>
            <w:tcW w:w="1232" w:type="dxa"/>
          </w:tcPr>
          <w:p w:rsidR="00025F3C" w:rsidRPr="00204D59" w:rsidRDefault="00204D59" w:rsidP="004C1EB4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Vagas CF</w:t>
            </w:r>
          </w:p>
        </w:tc>
        <w:tc>
          <w:tcPr>
            <w:tcW w:w="1234" w:type="dxa"/>
          </w:tcPr>
          <w:p w:rsidR="00025F3C" w:rsidRPr="00204D59" w:rsidRDefault="00204D59" w:rsidP="004C1EB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4D59">
              <w:rPr>
                <w:rFonts w:ascii="Arial" w:hAnsi="Arial" w:cs="Arial"/>
                <w:b/>
                <w:i/>
                <w:sz w:val="20"/>
                <w:szCs w:val="20"/>
              </w:rPr>
              <w:t>Vagas CD</w:t>
            </w:r>
          </w:p>
        </w:tc>
        <w:tc>
          <w:tcPr>
            <w:tcW w:w="1222" w:type="dxa"/>
          </w:tcPr>
          <w:p w:rsidR="00025F3C" w:rsidRPr="00204D59" w:rsidRDefault="00025F3C" w:rsidP="004C1EB4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025F3C" w:rsidRPr="00204D59" w:rsidTr="00EE6EA8">
        <w:tc>
          <w:tcPr>
            <w:tcW w:w="1229" w:type="dxa"/>
          </w:tcPr>
          <w:p w:rsidR="00025F3C" w:rsidRPr="00204D59" w:rsidRDefault="00025F3C" w:rsidP="00366F81">
            <w:pPr>
              <w:jc w:val="both"/>
              <w:rPr>
                <w:rFonts w:ascii="Arial" w:hAnsi="Arial" w:cs="Arial"/>
                <w:b/>
                <w:i/>
              </w:rPr>
            </w:pPr>
            <w:r w:rsidRPr="00204D59">
              <w:rPr>
                <w:rFonts w:ascii="Arial" w:hAnsi="Arial" w:cs="Arial"/>
                <w:b/>
                <w:i/>
              </w:rPr>
              <w:t>Nível A</w:t>
            </w:r>
          </w:p>
        </w:tc>
        <w:tc>
          <w:tcPr>
            <w:tcW w:w="1230" w:type="dxa"/>
          </w:tcPr>
          <w:p w:rsidR="00025F3C" w:rsidRPr="00204D59" w:rsidRDefault="00204D59" w:rsidP="00204D5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490</w:t>
            </w:r>
          </w:p>
        </w:tc>
        <w:tc>
          <w:tcPr>
            <w:tcW w:w="1341" w:type="dxa"/>
          </w:tcPr>
          <w:p w:rsidR="00025F3C" w:rsidRPr="00204D59" w:rsidRDefault="00204D59" w:rsidP="00204D5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4,27%</w:t>
            </w:r>
          </w:p>
        </w:tc>
        <w:tc>
          <w:tcPr>
            <w:tcW w:w="1232" w:type="dxa"/>
          </w:tcPr>
          <w:p w:rsidR="00025F3C" w:rsidRPr="00204D59" w:rsidRDefault="003B060A" w:rsidP="003B060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0(0,17)</w:t>
            </w:r>
          </w:p>
        </w:tc>
        <w:tc>
          <w:tcPr>
            <w:tcW w:w="1232" w:type="dxa"/>
          </w:tcPr>
          <w:p w:rsidR="00025F3C" w:rsidRPr="00204D59" w:rsidRDefault="003B060A" w:rsidP="00204D5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0(0,34)</w:t>
            </w:r>
          </w:p>
        </w:tc>
        <w:tc>
          <w:tcPr>
            <w:tcW w:w="1234" w:type="dxa"/>
          </w:tcPr>
          <w:p w:rsidR="00025F3C" w:rsidRPr="00204D59" w:rsidRDefault="003B060A" w:rsidP="003B060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01(085)</w:t>
            </w:r>
          </w:p>
        </w:tc>
        <w:tc>
          <w:tcPr>
            <w:tcW w:w="1222" w:type="dxa"/>
          </w:tcPr>
          <w:p w:rsidR="00025F3C" w:rsidRPr="00204D59" w:rsidRDefault="00025F3C" w:rsidP="00204D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25F3C" w:rsidRPr="00204D59" w:rsidTr="00EE6EA8">
        <w:tc>
          <w:tcPr>
            <w:tcW w:w="1229" w:type="dxa"/>
          </w:tcPr>
          <w:p w:rsidR="00025F3C" w:rsidRPr="00204D59" w:rsidRDefault="00025F3C" w:rsidP="00DE394F">
            <w:pPr>
              <w:jc w:val="both"/>
              <w:rPr>
                <w:rFonts w:ascii="Arial" w:hAnsi="Arial" w:cs="Arial"/>
                <w:b/>
                <w:i/>
              </w:rPr>
            </w:pPr>
            <w:r w:rsidRPr="00204D59">
              <w:rPr>
                <w:rFonts w:ascii="Arial" w:hAnsi="Arial" w:cs="Arial"/>
                <w:b/>
                <w:i/>
              </w:rPr>
              <w:t>Nível B</w:t>
            </w:r>
          </w:p>
        </w:tc>
        <w:tc>
          <w:tcPr>
            <w:tcW w:w="1230" w:type="dxa"/>
          </w:tcPr>
          <w:p w:rsidR="00025F3C" w:rsidRPr="00204D59" w:rsidRDefault="00204D59" w:rsidP="00204D5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10965</w:t>
            </w:r>
          </w:p>
        </w:tc>
        <w:tc>
          <w:tcPr>
            <w:tcW w:w="1341" w:type="dxa"/>
          </w:tcPr>
          <w:p w:rsidR="00025F3C" w:rsidRPr="00204D59" w:rsidRDefault="00204D59" w:rsidP="00204D5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95,73%</w:t>
            </w:r>
          </w:p>
        </w:tc>
        <w:tc>
          <w:tcPr>
            <w:tcW w:w="1232" w:type="dxa"/>
          </w:tcPr>
          <w:p w:rsidR="00025F3C" w:rsidRPr="00204D59" w:rsidRDefault="003B060A" w:rsidP="00204D5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04(3,82)</w:t>
            </w:r>
          </w:p>
        </w:tc>
        <w:tc>
          <w:tcPr>
            <w:tcW w:w="1232" w:type="dxa"/>
          </w:tcPr>
          <w:p w:rsidR="00025F3C" w:rsidRPr="00204D59" w:rsidRDefault="003B060A" w:rsidP="00204D5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08(7,65)</w:t>
            </w:r>
          </w:p>
        </w:tc>
        <w:tc>
          <w:tcPr>
            <w:tcW w:w="1234" w:type="dxa"/>
          </w:tcPr>
          <w:p w:rsidR="00025F3C" w:rsidRPr="00204D59" w:rsidRDefault="003B060A" w:rsidP="00204D5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19(19,14)</w:t>
            </w:r>
          </w:p>
        </w:tc>
        <w:tc>
          <w:tcPr>
            <w:tcW w:w="1222" w:type="dxa"/>
          </w:tcPr>
          <w:p w:rsidR="00025F3C" w:rsidRPr="00204D59" w:rsidRDefault="00025F3C" w:rsidP="00204D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C64DE9" w:rsidRDefault="00C64DE9" w:rsidP="00C64DE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Cs/>
        </w:rPr>
      </w:pPr>
    </w:p>
    <w:p w:rsidR="00C64DE9" w:rsidRPr="005D03D4" w:rsidRDefault="00C64DE9" w:rsidP="00C64DE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Cs/>
        </w:rPr>
      </w:pPr>
      <w:r w:rsidRPr="005D03D4">
        <w:rPr>
          <w:rFonts w:ascii="TrebuchetMS-Italic" w:hAnsi="TrebuchetMS-Italic" w:cs="TrebuchetMS-Italic"/>
          <w:b/>
          <w:iCs/>
        </w:rPr>
        <w:t>Democracia? É dar, a todos, o mesmo ponto</w:t>
      </w:r>
    </w:p>
    <w:p w:rsidR="00C64DE9" w:rsidRPr="005D03D4" w:rsidRDefault="00C64DE9" w:rsidP="00C64DE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Cs/>
        </w:rPr>
      </w:pPr>
      <w:r w:rsidRPr="005D03D4">
        <w:rPr>
          <w:rFonts w:ascii="TrebuchetMS-Italic" w:hAnsi="TrebuchetMS-Italic" w:cs="TrebuchetMS-Italic"/>
          <w:b/>
          <w:iCs/>
        </w:rPr>
        <w:t>de partida. Quanto ao ponto de chegada, isso</w:t>
      </w:r>
    </w:p>
    <w:p w:rsidR="00C64DE9" w:rsidRPr="005D03D4" w:rsidRDefault="00C64DE9" w:rsidP="00C64DE9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Cs/>
        </w:rPr>
      </w:pPr>
      <w:r w:rsidRPr="005D03D4">
        <w:rPr>
          <w:rFonts w:ascii="TrebuchetMS-Italic" w:hAnsi="TrebuchetMS-Italic" w:cs="TrebuchetMS-Italic"/>
          <w:b/>
          <w:iCs/>
        </w:rPr>
        <w:t>depende de cada um.</w:t>
      </w:r>
    </w:p>
    <w:p w:rsidR="00C64DE9" w:rsidRDefault="00C64DE9" w:rsidP="00C64DE9">
      <w:pPr>
        <w:ind w:firstLine="851"/>
        <w:jc w:val="both"/>
        <w:rPr>
          <w:rFonts w:ascii="TrebuchetMS" w:hAnsi="TrebuchetMS" w:cs="TrebuchetMS"/>
          <w:b/>
          <w:sz w:val="20"/>
          <w:szCs w:val="20"/>
        </w:rPr>
      </w:pPr>
      <w:r w:rsidRPr="005D03D4">
        <w:rPr>
          <w:rFonts w:ascii="TrebuchetMS" w:hAnsi="TrebuchetMS" w:cs="TrebuchetMS"/>
          <w:b/>
          <w:sz w:val="20"/>
          <w:szCs w:val="20"/>
        </w:rPr>
        <w:t>(Mário Quintana)</w:t>
      </w:r>
    </w:p>
    <w:p w:rsidR="00B40A19" w:rsidRDefault="00B40A19" w:rsidP="004C1EB4">
      <w:pPr>
        <w:ind w:firstLine="851"/>
        <w:jc w:val="both"/>
        <w:rPr>
          <w:rFonts w:ascii="Arial" w:hAnsi="Arial" w:cs="Arial"/>
        </w:rPr>
      </w:pPr>
    </w:p>
    <w:p w:rsidR="00C64DE9" w:rsidRDefault="00C64DE9" w:rsidP="004C1E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Senhor Presidente </w:t>
      </w:r>
      <w:r w:rsidR="00C95EBC">
        <w:rPr>
          <w:rFonts w:ascii="Arial" w:hAnsi="Arial" w:cs="Arial"/>
        </w:rPr>
        <w:t>da</w:t>
      </w:r>
      <w:bookmarkStart w:id="0" w:name="_GoBack"/>
      <w:bookmarkEnd w:id="0"/>
      <w:r>
        <w:rPr>
          <w:rFonts w:ascii="Arial" w:hAnsi="Arial" w:cs="Arial"/>
        </w:rPr>
        <w:t xml:space="preserve"> Associação dos Oficiais Estaduais do Rio Grande do Sul sempre parceira da Instituição Beneficente Coronel Massot, encerra este trabalho ciente e desde já gratos pela sua atenção.</w:t>
      </w:r>
    </w:p>
    <w:p w:rsidR="00C64DE9" w:rsidRDefault="00C64DE9" w:rsidP="004C1EB4">
      <w:pPr>
        <w:ind w:firstLine="851"/>
        <w:jc w:val="both"/>
        <w:rPr>
          <w:rFonts w:ascii="Arial" w:hAnsi="Arial" w:cs="Arial"/>
        </w:rPr>
      </w:pPr>
    </w:p>
    <w:p w:rsidR="005D03D4" w:rsidRDefault="005D03D4" w:rsidP="00B40A19">
      <w:pPr>
        <w:ind w:firstLine="851"/>
        <w:jc w:val="both"/>
        <w:rPr>
          <w:rFonts w:ascii="TrebuchetMS" w:hAnsi="TrebuchetMS" w:cs="TrebuchetMS"/>
          <w:b/>
          <w:sz w:val="20"/>
          <w:szCs w:val="20"/>
        </w:rPr>
      </w:pPr>
    </w:p>
    <w:p w:rsidR="00C64DE9" w:rsidRDefault="00C64DE9" w:rsidP="00B40A19">
      <w:pPr>
        <w:ind w:firstLine="851"/>
        <w:jc w:val="both"/>
        <w:rPr>
          <w:rFonts w:ascii="TrebuchetMS" w:hAnsi="TrebuchetMS" w:cs="TrebuchetMS"/>
          <w:b/>
          <w:sz w:val="20"/>
          <w:szCs w:val="20"/>
        </w:rPr>
      </w:pPr>
    </w:p>
    <w:p w:rsidR="00C64DE9" w:rsidRDefault="00C64DE9" w:rsidP="00C64DE9">
      <w:pPr>
        <w:ind w:firstLine="851"/>
        <w:jc w:val="center"/>
        <w:rPr>
          <w:rFonts w:ascii="TrebuchetMS" w:hAnsi="TrebuchetMS" w:cs="TrebuchetMS"/>
          <w:b/>
          <w:sz w:val="20"/>
          <w:szCs w:val="20"/>
        </w:rPr>
      </w:pPr>
      <w:r>
        <w:rPr>
          <w:rFonts w:ascii="TrebuchetMS" w:hAnsi="TrebuchetMS" w:cs="TrebuchetMS"/>
          <w:b/>
          <w:sz w:val="20"/>
          <w:szCs w:val="20"/>
        </w:rPr>
        <w:t>ELIAS DANIEL PONCIO 1º Ten</w:t>
      </w:r>
    </w:p>
    <w:p w:rsidR="00C64DE9" w:rsidRPr="005D03D4" w:rsidRDefault="00C64DE9" w:rsidP="00C64DE9">
      <w:pPr>
        <w:ind w:firstLine="851"/>
        <w:jc w:val="center"/>
        <w:rPr>
          <w:rFonts w:ascii="TrebuchetMS" w:hAnsi="TrebuchetMS" w:cs="TrebuchetMS"/>
          <w:b/>
          <w:sz w:val="20"/>
          <w:szCs w:val="20"/>
        </w:rPr>
      </w:pPr>
      <w:r>
        <w:rPr>
          <w:rFonts w:ascii="TrebuchetMS" w:hAnsi="TrebuchetMS" w:cs="TrebuchetMS"/>
          <w:b/>
          <w:sz w:val="20"/>
          <w:szCs w:val="20"/>
        </w:rPr>
        <w:t>Presidente da AOfERGS</w:t>
      </w:r>
    </w:p>
    <w:sectPr w:rsidR="00C64DE9" w:rsidRPr="005D03D4" w:rsidSect="0000018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43" w:rsidRDefault="00331143" w:rsidP="000642EA">
      <w:pPr>
        <w:spacing w:after="0" w:line="240" w:lineRule="auto"/>
      </w:pPr>
      <w:r>
        <w:separator/>
      </w:r>
    </w:p>
  </w:endnote>
  <w:endnote w:type="continuationSeparator" w:id="1">
    <w:p w:rsidR="00331143" w:rsidRDefault="00331143" w:rsidP="0006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EA" w:rsidRDefault="000642EA" w:rsidP="000642EA">
    <w:pPr>
      <w:pStyle w:val="Rodap"/>
      <w:ind w:left="-851"/>
    </w:pPr>
    <w:r>
      <w:t xml:space="preserve">Associação dos Oficiais </w:t>
    </w:r>
    <w:r w:rsidR="009D3F38">
      <w:t>Estaduais do Rio Grande do Sul</w:t>
    </w:r>
  </w:p>
  <w:p w:rsidR="000642EA" w:rsidRDefault="000642EA" w:rsidP="000642EA">
    <w:pPr>
      <w:pStyle w:val="Rodap"/>
      <w:ind w:left="-851"/>
    </w:pPr>
    <w:r>
      <w:t xml:space="preserve">Rua </w:t>
    </w:r>
    <w:r w:rsidR="00AD5911">
      <w:t>Doutor Flores  nr 307 - 12º Andar  - Centro  - Porto Alegre - Rio Grande do sul</w:t>
    </w:r>
  </w:p>
  <w:p w:rsidR="000642EA" w:rsidRDefault="000642EA" w:rsidP="000642EA">
    <w:pPr>
      <w:pStyle w:val="Rodap"/>
      <w:ind w:left="-851"/>
    </w:pPr>
    <w:r>
      <w:t>Fone: 9</w:t>
    </w:r>
    <w:r w:rsidR="00B17BAB">
      <w:t>8</w:t>
    </w:r>
    <w:r>
      <w:t>684756</w:t>
    </w:r>
  </w:p>
  <w:p w:rsidR="000642EA" w:rsidRDefault="000642EA" w:rsidP="000642EA">
    <w:pPr>
      <w:pStyle w:val="Rodap"/>
      <w:ind w:left="-851"/>
    </w:pPr>
    <w:r>
      <w:t>www.aofsbm.com.br</w:t>
    </w:r>
  </w:p>
  <w:p w:rsidR="000642EA" w:rsidRDefault="000642EA" w:rsidP="000642EA">
    <w:pPr>
      <w:pStyle w:val="Rodap"/>
    </w:pPr>
  </w:p>
  <w:p w:rsidR="000642EA" w:rsidRDefault="000642EA">
    <w:pPr>
      <w:pStyle w:val="Rodap"/>
    </w:pPr>
  </w:p>
  <w:p w:rsidR="000642EA" w:rsidRDefault="000642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43" w:rsidRDefault="00331143" w:rsidP="000642EA">
      <w:pPr>
        <w:spacing w:after="0" w:line="240" w:lineRule="auto"/>
      </w:pPr>
      <w:r>
        <w:separator/>
      </w:r>
    </w:p>
  </w:footnote>
  <w:footnote w:type="continuationSeparator" w:id="1">
    <w:p w:rsidR="00331143" w:rsidRDefault="00331143" w:rsidP="00064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331"/>
    <w:rsid w:val="0000018A"/>
    <w:rsid w:val="00025F3C"/>
    <w:rsid w:val="00041331"/>
    <w:rsid w:val="000642EA"/>
    <w:rsid w:val="00093AA0"/>
    <w:rsid w:val="000E6520"/>
    <w:rsid w:val="000F0BD6"/>
    <w:rsid w:val="0014208F"/>
    <w:rsid w:val="00156E29"/>
    <w:rsid w:val="001631A0"/>
    <w:rsid w:val="00204D59"/>
    <w:rsid w:val="002A469B"/>
    <w:rsid w:val="002C4E75"/>
    <w:rsid w:val="00331143"/>
    <w:rsid w:val="003647C4"/>
    <w:rsid w:val="003B060A"/>
    <w:rsid w:val="003D0A81"/>
    <w:rsid w:val="004057CD"/>
    <w:rsid w:val="00471F90"/>
    <w:rsid w:val="004756BC"/>
    <w:rsid w:val="00484041"/>
    <w:rsid w:val="004C1EB4"/>
    <w:rsid w:val="005311E9"/>
    <w:rsid w:val="00577E53"/>
    <w:rsid w:val="00582AD5"/>
    <w:rsid w:val="005962D2"/>
    <w:rsid w:val="005C2079"/>
    <w:rsid w:val="005D03D4"/>
    <w:rsid w:val="006443D9"/>
    <w:rsid w:val="0067609B"/>
    <w:rsid w:val="006B2DA0"/>
    <w:rsid w:val="006B6600"/>
    <w:rsid w:val="007516B9"/>
    <w:rsid w:val="00770C5B"/>
    <w:rsid w:val="0079685D"/>
    <w:rsid w:val="007E3907"/>
    <w:rsid w:val="0081205F"/>
    <w:rsid w:val="00825898"/>
    <w:rsid w:val="00841BA3"/>
    <w:rsid w:val="009027EB"/>
    <w:rsid w:val="00904022"/>
    <w:rsid w:val="00970CA6"/>
    <w:rsid w:val="009D3F38"/>
    <w:rsid w:val="00A4152F"/>
    <w:rsid w:val="00AA423A"/>
    <w:rsid w:val="00AD5911"/>
    <w:rsid w:val="00B17BAB"/>
    <w:rsid w:val="00B35CAF"/>
    <w:rsid w:val="00B40A19"/>
    <w:rsid w:val="00B44C70"/>
    <w:rsid w:val="00B55C00"/>
    <w:rsid w:val="00B73007"/>
    <w:rsid w:val="00BE3971"/>
    <w:rsid w:val="00C311B3"/>
    <w:rsid w:val="00C47888"/>
    <w:rsid w:val="00C64DE9"/>
    <w:rsid w:val="00C9019C"/>
    <w:rsid w:val="00C95EBC"/>
    <w:rsid w:val="00CA28E9"/>
    <w:rsid w:val="00D02334"/>
    <w:rsid w:val="00D646ED"/>
    <w:rsid w:val="00D67232"/>
    <w:rsid w:val="00D917F2"/>
    <w:rsid w:val="00DA474D"/>
    <w:rsid w:val="00DC1F3E"/>
    <w:rsid w:val="00DC3F95"/>
    <w:rsid w:val="00E30DC9"/>
    <w:rsid w:val="00E843DD"/>
    <w:rsid w:val="00E92B6F"/>
    <w:rsid w:val="00ED3C86"/>
    <w:rsid w:val="00EE6EA8"/>
    <w:rsid w:val="00EF1ACB"/>
    <w:rsid w:val="00F026F9"/>
    <w:rsid w:val="00F1052D"/>
    <w:rsid w:val="00F46227"/>
    <w:rsid w:val="00F561CA"/>
    <w:rsid w:val="00FE69C1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3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4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2EA"/>
  </w:style>
  <w:style w:type="paragraph" w:styleId="Rodap">
    <w:name w:val="footer"/>
    <w:basedOn w:val="Normal"/>
    <w:link w:val="RodapChar"/>
    <w:uiPriority w:val="99"/>
    <w:unhideWhenUsed/>
    <w:rsid w:val="00064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2EA"/>
  </w:style>
  <w:style w:type="character" w:customStyle="1" w:styleId="metatool">
    <w:name w:val="meta__tool"/>
    <w:basedOn w:val="Fontepargpadro"/>
    <w:rsid w:val="00577E53"/>
  </w:style>
  <w:style w:type="character" w:customStyle="1" w:styleId="apple-converted-space">
    <w:name w:val="apple-converted-space"/>
    <w:basedOn w:val="Fontepargpadro"/>
    <w:rsid w:val="00AA423A"/>
  </w:style>
  <w:style w:type="character" w:styleId="Hyperlink">
    <w:name w:val="Hyperlink"/>
    <w:basedOn w:val="Fontepargpadro"/>
    <w:uiPriority w:val="99"/>
    <w:semiHidden/>
    <w:unhideWhenUsed/>
    <w:rsid w:val="00AA423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46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5">
    <w:name w:val="Medium Shading 1 Accent 5"/>
    <w:basedOn w:val="Tabelanormal"/>
    <w:uiPriority w:val="63"/>
    <w:rsid w:val="00812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1130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Associação Tenentes</dc:creator>
  <cp:lastModifiedBy>Ricardo</cp:lastModifiedBy>
  <cp:revision>8</cp:revision>
  <dcterms:created xsi:type="dcterms:W3CDTF">2016-11-16T17:05:00Z</dcterms:created>
  <dcterms:modified xsi:type="dcterms:W3CDTF">2017-04-03T22:06:00Z</dcterms:modified>
</cp:coreProperties>
</file>